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9E5F" w14:textId="77777777" w:rsidR="00FB6E9C" w:rsidRDefault="00FB6E9C" w:rsidP="0061351A">
      <w:pPr>
        <w:pStyle w:val="ChartGraphic"/>
        <w:tabs>
          <w:tab w:val="left" w:pos="284"/>
        </w:tabs>
        <w:spacing w:before="600"/>
      </w:pPr>
      <w:r>
        <w:rPr>
          <w:noProof/>
        </w:rPr>
        <w:drawing>
          <wp:inline distT="0" distB="0" distL="0" distR="0" wp14:anchorId="3ABA0501" wp14:editId="0D5ED241">
            <wp:extent cx="1578864" cy="947928"/>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of Taxation_stac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8864" cy="947928"/>
                    </a:xfrm>
                    <a:prstGeom prst="rect">
                      <a:avLst/>
                    </a:prstGeom>
                  </pic:spPr>
                </pic:pic>
              </a:graphicData>
            </a:graphic>
          </wp:inline>
        </w:drawing>
      </w:r>
    </w:p>
    <w:p w14:paraId="503A5CCE" w14:textId="77777777" w:rsidR="000235F2" w:rsidRDefault="00872DC9" w:rsidP="00FB6E9C">
      <w:pPr>
        <w:pStyle w:val="CoverTitleMain"/>
        <w:spacing w:before="2880"/>
      </w:pPr>
      <w:r>
        <w:t xml:space="preserve">The Board </w:t>
      </w:r>
      <w:r w:rsidRPr="00872DC9">
        <w:t>of</w:t>
      </w:r>
      <w:r>
        <w:t xml:space="preserve"> Taxation</w:t>
      </w:r>
    </w:p>
    <w:p w14:paraId="6A0730D0" w14:textId="77777777" w:rsidR="000235F2" w:rsidRDefault="00872DC9" w:rsidP="000235F2">
      <w:pPr>
        <w:pStyle w:val="CoverTitleSub"/>
      </w:pPr>
      <w:r>
        <w:t>20</w:t>
      </w:r>
      <w:r w:rsidR="007420F7">
        <w:t>18</w:t>
      </w:r>
      <w:r w:rsidR="00486327">
        <w:t xml:space="preserve"> </w:t>
      </w:r>
      <w:r>
        <w:t>— 20</w:t>
      </w:r>
      <w:r w:rsidR="007420F7">
        <w:t>19</w:t>
      </w:r>
      <w:r>
        <w:t xml:space="preserve"> Annual Report</w:t>
      </w:r>
    </w:p>
    <w:p w14:paraId="30E87D92" w14:textId="77777777" w:rsidR="0001127A" w:rsidRDefault="007420F7" w:rsidP="000235F2">
      <w:pPr>
        <w:pStyle w:val="CoverTitleSub2"/>
      </w:pPr>
      <w:r>
        <w:t>December</w:t>
      </w:r>
      <w:r w:rsidR="000235F2">
        <w:t xml:space="preserve">, </w:t>
      </w:r>
      <w:r>
        <w:t>2019</w:t>
      </w:r>
    </w:p>
    <w:p w14:paraId="622613FE" w14:textId="77777777" w:rsidR="000235F2" w:rsidRDefault="000235F2" w:rsidP="000235F2">
      <w:pPr>
        <w:pStyle w:val="CoverTitleSub2"/>
        <w:sectPr w:rsidR="000235F2" w:rsidSect="005F6980">
          <w:headerReference w:type="even" r:id="rId14"/>
          <w:headerReference w:type="default" r:id="rId15"/>
          <w:footerReference w:type="even" r:id="rId16"/>
          <w:footerReference w:type="default" r:id="rId17"/>
          <w:pgSz w:w="11909" w:h="16834" w:code="9"/>
          <w:pgMar w:top="1701" w:right="1701" w:bottom="1701" w:left="1701" w:header="851" w:footer="851" w:gutter="0"/>
          <w:cols w:space="708"/>
          <w:titlePg/>
          <w:docGrid w:linePitch="360"/>
        </w:sectPr>
      </w:pPr>
    </w:p>
    <w:p w14:paraId="69D9DBD3" w14:textId="77777777" w:rsidR="000235F2" w:rsidRDefault="000235F2" w:rsidP="000235F2">
      <w:r>
        <w:lastRenderedPageBreak/>
        <w:t xml:space="preserve">©Commonwealth of Australia </w:t>
      </w:r>
      <w:r w:rsidRPr="007420F7">
        <w:t>201</w:t>
      </w:r>
      <w:r w:rsidR="007420F7">
        <w:t>9</w:t>
      </w:r>
    </w:p>
    <w:p w14:paraId="65D324B6" w14:textId="77777777" w:rsidR="000235F2" w:rsidRDefault="000235F2" w:rsidP="000235F2">
      <w:pPr>
        <w:jc w:val="left"/>
      </w:pPr>
      <w:r>
        <w:t>ISSN 2204-0951 (print</w:t>
      </w:r>
      <w:proofErr w:type="gramStart"/>
      <w:r>
        <w:t>)</w:t>
      </w:r>
      <w:proofErr w:type="gramEnd"/>
      <w:r>
        <w:br/>
        <w:t>ISSN 2204-096X (web)</w:t>
      </w:r>
    </w:p>
    <w:p w14:paraId="70344C01" w14:textId="77777777" w:rsidR="000235F2" w:rsidRDefault="000235F2" w:rsidP="00ED7355">
      <w:pPr>
        <w:spacing w:after="120"/>
      </w:pPr>
      <w:r>
        <w:t xml:space="preserve">This publication is available for your use under a </w:t>
      </w:r>
      <w:hyperlink r:id="rId18" w:history="1">
        <w:r w:rsidRPr="000235F2">
          <w:rPr>
            <w:rStyle w:val="Hyperlink"/>
          </w:rPr>
          <w:t>Creative Commons BY Attribution 3.0 Australia</w:t>
        </w:r>
      </w:hyperlink>
      <w:r>
        <w:t xml:space="preserve"> licence, with the exception of the Commonwealth Coat of Arms</w:t>
      </w:r>
      <w:r w:rsidRPr="000235F2">
        <w:t xml:space="preserve"> and all third party material as attributed in this document</w:t>
      </w:r>
      <w:r>
        <w:t xml:space="preserve">. The full licence terms are available from </w:t>
      </w:r>
      <w:hyperlink r:id="rId19" w:history="1">
        <w:r w:rsidRPr="00DE4676">
          <w:rPr>
            <w:rStyle w:val="Hyperlink"/>
          </w:rPr>
          <w:t>http://creativecommons.org/licenses/by/3.0/au/legalcode</w:t>
        </w:r>
      </w:hyperlink>
      <w:r>
        <w:t xml:space="preserve">. </w:t>
      </w:r>
    </w:p>
    <w:p w14:paraId="2154C62A" w14:textId="77777777" w:rsidR="000235F2" w:rsidRDefault="000235F2" w:rsidP="00ED7355">
      <w:pPr>
        <w:spacing w:after="120" w:line="240" w:lineRule="auto"/>
      </w:pPr>
      <w:r w:rsidRPr="003F4392">
        <w:rPr>
          <w:noProof/>
        </w:rPr>
        <w:drawing>
          <wp:inline distT="0" distB="0" distL="0" distR="0" wp14:anchorId="09B4C7C1" wp14:editId="775FFD2B">
            <wp:extent cx="795020" cy="294640"/>
            <wp:effectExtent l="0" t="0" r="5080" b="0"/>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020" cy="294640"/>
                    </a:xfrm>
                    <a:prstGeom prst="rect">
                      <a:avLst/>
                    </a:prstGeom>
                    <a:noFill/>
                    <a:ln>
                      <a:noFill/>
                    </a:ln>
                  </pic:spPr>
                </pic:pic>
              </a:graphicData>
            </a:graphic>
          </wp:inline>
        </w:drawing>
      </w:r>
    </w:p>
    <w:p w14:paraId="4C430037" w14:textId="77777777" w:rsidR="000235F2" w:rsidRDefault="000235F2" w:rsidP="000235F2">
      <w:r>
        <w:t xml:space="preserve">Use of </w:t>
      </w:r>
      <w:r w:rsidR="00ED7355" w:rsidRPr="00ED7355">
        <w:t xml:space="preserve">Board of Taxation </w:t>
      </w:r>
      <w:r>
        <w:t xml:space="preserve">material under a </w:t>
      </w:r>
      <w:hyperlink r:id="rId21" w:history="1">
        <w:r w:rsidRPr="000235F2">
          <w:rPr>
            <w:rStyle w:val="Hyperlink"/>
          </w:rPr>
          <w:t>Creative Commons BY Attribution 3.0 Australia</w:t>
        </w:r>
      </w:hyperlink>
      <w:r>
        <w:t xml:space="preserve"> licence requires you to attribute the work (but not in any way that suggests that the </w:t>
      </w:r>
      <w:r w:rsidR="00ED7355" w:rsidRPr="00ED7355">
        <w:t xml:space="preserve">Board of Taxation </w:t>
      </w:r>
      <w:r>
        <w:t xml:space="preserve">endorses you or your use of the work). </w:t>
      </w:r>
    </w:p>
    <w:p w14:paraId="416C1858" w14:textId="77777777" w:rsidR="000235F2" w:rsidRPr="000235F2" w:rsidRDefault="00ED7355" w:rsidP="00ED7355">
      <w:pPr>
        <w:spacing w:after="0"/>
        <w:rPr>
          <w:b/>
        </w:rPr>
      </w:pPr>
      <w:r w:rsidRPr="00ED7355">
        <w:rPr>
          <w:b/>
        </w:rPr>
        <w:t xml:space="preserve">Board of Taxation </w:t>
      </w:r>
      <w:r w:rsidR="000235F2" w:rsidRPr="000235F2">
        <w:rPr>
          <w:b/>
        </w:rPr>
        <w:t>material used 'as supplied'</w:t>
      </w:r>
    </w:p>
    <w:p w14:paraId="6AEEC40E" w14:textId="77777777" w:rsidR="000235F2" w:rsidRDefault="000235F2" w:rsidP="00ED7355">
      <w:pPr>
        <w:spacing w:after="0"/>
      </w:pPr>
      <w:r>
        <w:t xml:space="preserve">Provided you have not modified or transformed </w:t>
      </w:r>
      <w:r w:rsidR="00ED7355">
        <w:t>Board of Taxation</w:t>
      </w:r>
      <w:r>
        <w:t xml:space="preserve"> material in any way including, for example, by changing the </w:t>
      </w:r>
      <w:r w:rsidR="00ED7355" w:rsidRPr="00ED7355">
        <w:t xml:space="preserve">Board of Taxation </w:t>
      </w:r>
      <w:r>
        <w:t xml:space="preserve">text; calculating percentage changes; graphing or charting data; or deriving new statistics from published </w:t>
      </w:r>
      <w:r w:rsidR="00ED7355" w:rsidRPr="00ED7355">
        <w:t xml:space="preserve">Board of Taxation </w:t>
      </w:r>
      <w:r>
        <w:t xml:space="preserve">statistics – then </w:t>
      </w:r>
      <w:r w:rsidR="00ED7355" w:rsidRPr="00ED7355">
        <w:t xml:space="preserve">Board of Taxation </w:t>
      </w:r>
      <w:r>
        <w:t xml:space="preserve">prefers the following attribution: </w:t>
      </w:r>
    </w:p>
    <w:p w14:paraId="64E42FFD" w14:textId="77777777" w:rsidR="000235F2" w:rsidRPr="00ED7355" w:rsidRDefault="000235F2" w:rsidP="00ED7355">
      <w:pPr>
        <w:ind w:left="720"/>
        <w:rPr>
          <w:i/>
        </w:rPr>
      </w:pPr>
      <w:r w:rsidRPr="00ED7355">
        <w:rPr>
          <w:i/>
        </w:rPr>
        <w:t>Source:</w:t>
      </w:r>
      <w:r w:rsidR="00ED7355" w:rsidRPr="00ED7355">
        <w:rPr>
          <w:i/>
        </w:rPr>
        <w:t xml:space="preserve"> Board of Taxation</w:t>
      </w:r>
      <w:r w:rsidR="00ED7355" w:rsidRPr="009F7BBD">
        <w:rPr>
          <w:i/>
        </w:rPr>
        <w:t>, 20</w:t>
      </w:r>
      <w:r w:rsidR="009F7BBD" w:rsidRPr="009F7BBD">
        <w:rPr>
          <w:i/>
        </w:rPr>
        <w:t>18</w:t>
      </w:r>
      <w:r w:rsidR="009F7BBD" w:rsidRPr="009F7BBD">
        <w:rPr>
          <w:i/>
        </w:rPr>
        <w:noBreakHyphen/>
      </w:r>
      <w:r w:rsidR="009F7BBD">
        <w:rPr>
          <w:i/>
        </w:rPr>
        <w:t>19</w:t>
      </w:r>
      <w:r w:rsidRPr="00ED7355">
        <w:rPr>
          <w:i/>
        </w:rPr>
        <w:t xml:space="preserve"> Annual Report. The Commonwealth of Australia does not necessarily endorse the content of this publication.</w:t>
      </w:r>
    </w:p>
    <w:p w14:paraId="2111F420" w14:textId="77777777" w:rsidR="000235F2" w:rsidRPr="000235F2" w:rsidRDefault="000235F2" w:rsidP="00ED7355">
      <w:pPr>
        <w:spacing w:after="0"/>
        <w:rPr>
          <w:b/>
        </w:rPr>
      </w:pPr>
      <w:r w:rsidRPr="000235F2">
        <w:rPr>
          <w:b/>
        </w:rPr>
        <w:t>Derivative material</w:t>
      </w:r>
    </w:p>
    <w:p w14:paraId="48CF22BA" w14:textId="77777777" w:rsidR="000235F2" w:rsidRDefault="000235F2" w:rsidP="00ED7355">
      <w:pPr>
        <w:spacing w:after="0"/>
      </w:pPr>
      <w:r>
        <w:t xml:space="preserve">If you have modified or transformed </w:t>
      </w:r>
      <w:r w:rsidR="00ED7355" w:rsidRPr="00ED7355">
        <w:t xml:space="preserve">Board of Taxation </w:t>
      </w:r>
      <w:r>
        <w:t xml:space="preserve">material, or derived new material from those of the </w:t>
      </w:r>
      <w:r w:rsidR="00ED7355" w:rsidRPr="00ED7355">
        <w:t xml:space="preserve">Board of Taxation </w:t>
      </w:r>
      <w:r>
        <w:t xml:space="preserve">in any way, then </w:t>
      </w:r>
      <w:r w:rsidR="00ED7355" w:rsidRPr="00ED7355">
        <w:t xml:space="preserve">Board of Taxation </w:t>
      </w:r>
      <w:r>
        <w:t xml:space="preserve">prefers the following attribution: </w:t>
      </w:r>
    </w:p>
    <w:p w14:paraId="4D740EC3" w14:textId="77777777" w:rsidR="00ED7355" w:rsidRPr="00ED7355" w:rsidRDefault="00ED7355" w:rsidP="00ED7355">
      <w:pPr>
        <w:ind w:left="720"/>
        <w:rPr>
          <w:i/>
        </w:rPr>
      </w:pPr>
      <w:r>
        <w:rPr>
          <w:i/>
        </w:rPr>
        <w:t>Based on the</w:t>
      </w:r>
      <w:r w:rsidRPr="00ED7355">
        <w:rPr>
          <w:i/>
        </w:rPr>
        <w:t xml:space="preserve"> Board of Taxation, </w:t>
      </w:r>
      <w:r w:rsidRPr="009F7BBD">
        <w:rPr>
          <w:i/>
        </w:rPr>
        <w:t>20</w:t>
      </w:r>
      <w:r w:rsidR="009F7BBD" w:rsidRPr="009F7BBD">
        <w:rPr>
          <w:i/>
        </w:rPr>
        <w:t>18</w:t>
      </w:r>
      <w:r w:rsidRPr="009F7BBD">
        <w:rPr>
          <w:i/>
        </w:rPr>
        <w:noBreakHyphen/>
      </w:r>
      <w:r w:rsidR="009F7BBD" w:rsidRPr="009F7BBD">
        <w:rPr>
          <w:i/>
        </w:rPr>
        <w:t>19</w:t>
      </w:r>
      <w:r w:rsidRPr="00ED7355">
        <w:rPr>
          <w:i/>
        </w:rPr>
        <w:t xml:space="preserve"> Annual Report. The Commonwealth of Australia does not necessarily endorse the content of this publication.</w:t>
      </w:r>
    </w:p>
    <w:p w14:paraId="78673CD5" w14:textId="77777777" w:rsidR="000235F2" w:rsidRPr="000235F2" w:rsidRDefault="000235F2" w:rsidP="00ED7355">
      <w:pPr>
        <w:spacing w:after="0"/>
        <w:rPr>
          <w:b/>
        </w:rPr>
      </w:pPr>
      <w:r w:rsidRPr="000235F2">
        <w:rPr>
          <w:b/>
        </w:rPr>
        <w:t>Use of the Coat of Arms</w:t>
      </w:r>
    </w:p>
    <w:p w14:paraId="2B95AA18" w14:textId="77777777" w:rsidR="000235F2" w:rsidRDefault="000235F2" w:rsidP="000235F2">
      <w:r>
        <w:t xml:space="preserve">The terms under which the Coat of Arms can be used are set out on the Department of the Prime Minister and Cabinet website (see </w:t>
      </w:r>
      <w:hyperlink r:id="rId22" w:history="1">
        <w:r w:rsidRPr="00DE4676">
          <w:rPr>
            <w:rStyle w:val="Hyperlink"/>
          </w:rPr>
          <w:t>www.pmc.gov.au/government/commonwealth-coat-arms</w:t>
        </w:r>
      </w:hyperlink>
      <w:r>
        <w:t>).</w:t>
      </w:r>
    </w:p>
    <w:p w14:paraId="27AB3828" w14:textId="77777777" w:rsidR="000235F2" w:rsidRPr="000235F2" w:rsidRDefault="000235F2" w:rsidP="00ED7355">
      <w:pPr>
        <w:spacing w:after="0"/>
        <w:rPr>
          <w:b/>
        </w:rPr>
      </w:pPr>
      <w:r w:rsidRPr="000235F2">
        <w:rPr>
          <w:b/>
        </w:rPr>
        <w:t>Other uses</w:t>
      </w:r>
    </w:p>
    <w:p w14:paraId="6E961D69" w14:textId="77777777" w:rsidR="000235F2" w:rsidRDefault="000235F2" w:rsidP="00ED7355">
      <w:pPr>
        <w:spacing w:after="120"/>
      </w:pPr>
      <w:r>
        <w:t>Enquiries regarding this licence and any other use of this document are welcome at:</w:t>
      </w:r>
    </w:p>
    <w:p w14:paraId="0FF33EE8" w14:textId="77777777" w:rsidR="000235F2" w:rsidRDefault="000235F2" w:rsidP="000235F2">
      <w:pPr>
        <w:pStyle w:val="SingleParagraph"/>
      </w:pPr>
      <w:r>
        <w:t>Manager</w:t>
      </w:r>
    </w:p>
    <w:p w14:paraId="01C10434" w14:textId="77777777" w:rsidR="000235F2" w:rsidRDefault="000235F2" w:rsidP="000235F2">
      <w:pPr>
        <w:pStyle w:val="SingleParagraph"/>
      </w:pPr>
      <w:r>
        <w:t xml:space="preserve">Communications </w:t>
      </w:r>
    </w:p>
    <w:p w14:paraId="64CB0206" w14:textId="77777777" w:rsidR="000235F2" w:rsidRDefault="000235F2" w:rsidP="000235F2">
      <w:pPr>
        <w:pStyle w:val="SingleParagraph"/>
      </w:pPr>
      <w:r>
        <w:t>The Treasury</w:t>
      </w:r>
    </w:p>
    <w:p w14:paraId="5B1996CB" w14:textId="77777777" w:rsidR="000235F2" w:rsidRDefault="000235F2" w:rsidP="000235F2">
      <w:pPr>
        <w:pStyle w:val="SingleParagraph"/>
      </w:pPr>
      <w:r>
        <w:t>Langton Crescent, Parkes ACT 2600</w:t>
      </w:r>
    </w:p>
    <w:p w14:paraId="7FBAC8D4" w14:textId="77777777" w:rsidR="000235F2" w:rsidRDefault="000235F2" w:rsidP="00ED7355">
      <w:pPr>
        <w:pStyle w:val="SingleParagraph"/>
        <w:spacing w:after="240"/>
      </w:pPr>
      <w:r>
        <w:t xml:space="preserve">Email: </w:t>
      </w:r>
      <w:hyperlink r:id="rId23" w:history="1">
        <w:r w:rsidRPr="00DE4676">
          <w:rPr>
            <w:rStyle w:val="Hyperlink"/>
          </w:rPr>
          <w:t>medialiaison@treasury.gov.au</w:t>
        </w:r>
      </w:hyperlink>
    </w:p>
    <w:p w14:paraId="3BB75A1D" w14:textId="77777777" w:rsidR="00ED7355" w:rsidRDefault="00ED7355" w:rsidP="00ED7355">
      <w:pPr>
        <w:jc w:val="left"/>
        <w:sectPr w:rsidR="00ED7355" w:rsidSect="005F6980">
          <w:footerReference w:type="first" r:id="rId24"/>
          <w:pgSz w:w="11909" w:h="16834" w:code="9"/>
          <w:pgMar w:top="1701" w:right="1701" w:bottom="1701" w:left="1701" w:header="851" w:footer="851" w:gutter="0"/>
          <w:cols w:space="708"/>
          <w:titlePg/>
          <w:docGrid w:linePitch="360"/>
        </w:sectPr>
      </w:pPr>
      <w:r>
        <w:t xml:space="preserve">A copy of this document appears on the Board of Taxation website: </w:t>
      </w:r>
      <w:r>
        <w:br/>
      </w:r>
      <w:hyperlink r:id="rId25" w:history="1">
        <w:r w:rsidRPr="00DE4676">
          <w:rPr>
            <w:rStyle w:val="Hyperlink"/>
          </w:rPr>
          <w:t>http://www.taxboard.gov.au</w:t>
        </w:r>
      </w:hyperlink>
      <w:r>
        <w:t>.</w:t>
      </w:r>
    </w:p>
    <w:p w14:paraId="0408CFFF" w14:textId="77777777" w:rsidR="00ED7355" w:rsidRDefault="00ED7355" w:rsidP="00FB6E9C">
      <w:pPr>
        <w:pStyle w:val="ContentsHeading"/>
      </w:pPr>
      <w:r w:rsidRPr="00FB6E9C">
        <w:lastRenderedPageBreak/>
        <w:t>Contents</w:t>
      </w:r>
    </w:p>
    <w:p w14:paraId="7FBCA922" w14:textId="73267FF2" w:rsidR="00365107" w:rsidRDefault="001911F5">
      <w:pPr>
        <w:pStyle w:val="TOC1"/>
        <w:rPr>
          <w:rFonts w:eastAsiaTheme="minorEastAsia" w:cstheme="minorBidi"/>
          <w:b w:val="0"/>
          <w:smallCaps w:val="0"/>
          <w:noProof/>
          <w:color w:val="auto"/>
          <w:sz w:val="22"/>
        </w:rPr>
      </w:pPr>
      <w:r>
        <w:rPr>
          <w:b w:val="0"/>
          <w:smallCaps w:val="0"/>
        </w:rPr>
        <w:fldChar w:fldCharType="begin"/>
      </w:r>
      <w:r>
        <w:rPr>
          <w:b w:val="0"/>
          <w:smallCaps w:val="0"/>
        </w:rPr>
        <w:instrText xml:space="preserve"> TOC \o "1-2" \h \z \t "Appendix Heading,1" </w:instrText>
      </w:r>
      <w:r>
        <w:rPr>
          <w:b w:val="0"/>
          <w:smallCaps w:val="0"/>
        </w:rPr>
        <w:fldChar w:fldCharType="separate"/>
      </w:r>
      <w:hyperlink w:anchor="_Toc27652688" w:history="1">
        <w:r w:rsidR="00365107" w:rsidRPr="006A2879">
          <w:rPr>
            <w:rStyle w:val="Hyperlink"/>
            <w:noProof/>
          </w:rPr>
          <w:t>Contact details</w:t>
        </w:r>
        <w:r w:rsidR="00365107">
          <w:rPr>
            <w:noProof/>
            <w:webHidden/>
          </w:rPr>
          <w:tab/>
        </w:r>
        <w:r w:rsidR="00365107">
          <w:rPr>
            <w:noProof/>
            <w:webHidden/>
          </w:rPr>
          <w:fldChar w:fldCharType="begin"/>
        </w:r>
        <w:r w:rsidR="00365107">
          <w:rPr>
            <w:noProof/>
            <w:webHidden/>
          </w:rPr>
          <w:instrText xml:space="preserve"> PAGEREF _Toc27652688 \h </w:instrText>
        </w:r>
        <w:r w:rsidR="00365107">
          <w:rPr>
            <w:noProof/>
            <w:webHidden/>
          </w:rPr>
        </w:r>
        <w:r w:rsidR="00365107">
          <w:rPr>
            <w:noProof/>
            <w:webHidden/>
          </w:rPr>
          <w:fldChar w:fldCharType="separate"/>
        </w:r>
        <w:r w:rsidR="008E047F">
          <w:rPr>
            <w:noProof/>
            <w:webHidden/>
          </w:rPr>
          <w:t>5</w:t>
        </w:r>
        <w:r w:rsidR="00365107">
          <w:rPr>
            <w:noProof/>
            <w:webHidden/>
          </w:rPr>
          <w:fldChar w:fldCharType="end"/>
        </w:r>
      </w:hyperlink>
    </w:p>
    <w:p w14:paraId="03B17FCE" w14:textId="478A2DF7" w:rsidR="00365107" w:rsidRDefault="00D23991">
      <w:pPr>
        <w:pStyle w:val="TOC1"/>
        <w:rPr>
          <w:rFonts w:eastAsiaTheme="minorEastAsia" w:cstheme="minorBidi"/>
          <w:b w:val="0"/>
          <w:smallCaps w:val="0"/>
          <w:noProof/>
          <w:color w:val="auto"/>
          <w:sz w:val="22"/>
        </w:rPr>
      </w:pPr>
      <w:hyperlink w:anchor="_Toc27652689" w:history="1">
        <w:r w:rsidR="00365107" w:rsidRPr="006A2879">
          <w:rPr>
            <w:rStyle w:val="Hyperlink"/>
            <w:noProof/>
          </w:rPr>
          <w:t>Glossary of terms</w:t>
        </w:r>
        <w:r w:rsidR="00365107">
          <w:rPr>
            <w:noProof/>
            <w:webHidden/>
          </w:rPr>
          <w:tab/>
        </w:r>
        <w:r w:rsidR="00365107">
          <w:rPr>
            <w:noProof/>
            <w:webHidden/>
          </w:rPr>
          <w:fldChar w:fldCharType="begin"/>
        </w:r>
        <w:r w:rsidR="00365107">
          <w:rPr>
            <w:noProof/>
            <w:webHidden/>
          </w:rPr>
          <w:instrText xml:space="preserve"> PAGEREF _Toc27652689 \h </w:instrText>
        </w:r>
        <w:r w:rsidR="00365107">
          <w:rPr>
            <w:noProof/>
            <w:webHidden/>
          </w:rPr>
        </w:r>
        <w:r w:rsidR="00365107">
          <w:rPr>
            <w:noProof/>
            <w:webHidden/>
          </w:rPr>
          <w:fldChar w:fldCharType="separate"/>
        </w:r>
        <w:r w:rsidR="008E047F">
          <w:rPr>
            <w:noProof/>
            <w:webHidden/>
          </w:rPr>
          <w:t>6</w:t>
        </w:r>
        <w:r w:rsidR="00365107">
          <w:rPr>
            <w:noProof/>
            <w:webHidden/>
          </w:rPr>
          <w:fldChar w:fldCharType="end"/>
        </w:r>
      </w:hyperlink>
    </w:p>
    <w:p w14:paraId="4B80BE74" w14:textId="26879C69" w:rsidR="00365107" w:rsidRDefault="00D23991">
      <w:pPr>
        <w:pStyle w:val="TOC1"/>
        <w:rPr>
          <w:rFonts w:eastAsiaTheme="minorEastAsia" w:cstheme="minorBidi"/>
          <w:b w:val="0"/>
          <w:smallCaps w:val="0"/>
          <w:noProof/>
          <w:color w:val="auto"/>
          <w:sz w:val="22"/>
        </w:rPr>
      </w:pPr>
      <w:hyperlink w:anchor="_Toc27652690" w:history="1">
        <w:r w:rsidR="00365107" w:rsidRPr="006A2879">
          <w:rPr>
            <w:rStyle w:val="Hyperlink"/>
            <w:noProof/>
          </w:rPr>
          <w:t>Introduction from the Acting Chair</w:t>
        </w:r>
        <w:r w:rsidR="00365107">
          <w:rPr>
            <w:noProof/>
            <w:webHidden/>
          </w:rPr>
          <w:tab/>
        </w:r>
        <w:r w:rsidR="00365107">
          <w:rPr>
            <w:noProof/>
            <w:webHidden/>
          </w:rPr>
          <w:fldChar w:fldCharType="begin"/>
        </w:r>
        <w:r w:rsidR="00365107">
          <w:rPr>
            <w:noProof/>
            <w:webHidden/>
          </w:rPr>
          <w:instrText xml:space="preserve"> PAGEREF _Toc27652690 \h </w:instrText>
        </w:r>
        <w:r w:rsidR="00365107">
          <w:rPr>
            <w:noProof/>
            <w:webHidden/>
          </w:rPr>
        </w:r>
        <w:r w:rsidR="00365107">
          <w:rPr>
            <w:noProof/>
            <w:webHidden/>
          </w:rPr>
          <w:fldChar w:fldCharType="separate"/>
        </w:r>
        <w:r w:rsidR="008E047F">
          <w:rPr>
            <w:noProof/>
            <w:webHidden/>
          </w:rPr>
          <w:t>7</w:t>
        </w:r>
        <w:r w:rsidR="00365107">
          <w:rPr>
            <w:noProof/>
            <w:webHidden/>
          </w:rPr>
          <w:fldChar w:fldCharType="end"/>
        </w:r>
      </w:hyperlink>
    </w:p>
    <w:p w14:paraId="25173FF5" w14:textId="704D8C49" w:rsidR="00365107" w:rsidRDefault="00D23991">
      <w:pPr>
        <w:pStyle w:val="TOC1"/>
        <w:rPr>
          <w:rFonts w:eastAsiaTheme="minorEastAsia" w:cstheme="minorBidi"/>
          <w:b w:val="0"/>
          <w:smallCaps w:val="0"/>
          <w:noProof/>
          <w:color w:val="auto"/>
          <w:sz w:val="22"/>
        </w:rPr>
      </w:pPr>
      <w:hyperlink w:anchor="_Toc27652691" w:history="1">
        <w:r w:rsidR="00365107" w:rsidRPr="006A2879">
          <w:rPr>
            <w:rStyle w:val="Hyperlink"/>
            <w:noProof/>
          </w:rPr>
          <w:t>Introduction from the CEO</w:t>
        </w:r>
        <w:r w:rsidR="00365107">
          <w:rPr>
            <w:noProof/>
            <w:webHidden/>
          </w:rPr>
          <w:tab/>
        </w:r>
        <w:r w:rsidR="00365107">
          <w:rPr>
            <w:noProof/>
            <w:webHidden/>
          </w:rPr>
          <w:fldChar w:fldCharType="begin"/>
        </w:r>
        <w:r w:rsidR="00365107">
          <w:rPr>
            <w:noProof/>
            <w:webHidden/>
          </w:rPr>
          <w:instrText xml:space="preserve"> PAGEREF _Toc27652691 \h </w:instrText>
        </w:r>
        <w:r w:rsidR="00365107">
          <w:rPr>
            <w:noProof/>
            <w:webHidden/>
          </w:rPr>
        </w:r>
        <w:r w:rsidR="00365107">
          <w:rPr>
            <w:noProof/>
            <w:webHidden/>
          </w:rPr>
          <w:fldChar w:fldCharType="separate"/>
        </w:r>
        <w:r w:rsidR="008E047F">
          <w:rPr>
            <w:noProof/>
            <w:webHidden/>
          </w:rPr>
          <w:t>9</w:t>
        </w:r>
        <w:r w:rsidR="00365107">
          <w:rPr>
            <w:noProof/>
            <w:webHidden/>
          </w:rPr>
          <w:fldChar w:fldCharType="end"/>
        </w:r>
      </w:hyperlink>
    </w:p>
    <w:p w14:paraId="07FD6F5A" w14:textId="5D3EBA7A" w:rsidR="00365107" w:rsidRDefault="00D23991">
      <w:pPr>
        <w:pStyle w:val="TOC1"/>
        <w:tabs>
          <w:tab w:val="left" w:pos="567"/>
        </w:tabs>
        <w:rPr>
          <w:rFonts w:eastAsiaTheme="minorEastAsia" w:cstheme="minorBidi"/>
          <w:b w:val="0"/>
          <w:smallCaps w:val="0"/>
          <w:noProof/>
          <w:color w:val="auto"/>
          <w:sz w:val="22"/>
        </w:rPr>
      </w:pPr>
      <w:hyperlink w:anchor="_Toc27652692" w:history="1">
        <w:r w:rsidR="00365107" w:rsidRPr="006A2879">
          <w:rPr>
            <w:rStyle w:val="Hyperlink"/>
            <w:noProof/>
          </w:rPr>
          <w:t>1</w:t>
        </w:r>
        <w:r w:rsidR="00365107">
          <w:rPr>
            <w:rFonts w:eastAsiaTheme="minorEastAsia" w:cstheme="minorBidi"/>
            <w:b w:val="0"/>
            <w:smallCaps w:val="0"/>
            <w:noProof/>
            <w:color w:val="auto"/>
            <w:sz w:val="22"/>
          </w:rPr>
          <w:tab/>
        </w:r>
        <w:r w:rsidR="00365107" w:rsidRPr="006A2879">
          <w:rPr>
            <w:rStyle w:val="Hyperlink"/>
            <w:noProof/>
          </w:rPr>
          <w:t>The Board</w:t>
        </w:r>
        <w:r w:rsidR="00365107">
          <w:rPr>
            <w:noProof/>
            <w:webHidden/>
          </w:rPr>
          <w:tab/>
        </w:r>
        <w:r w:rsidR="00365107">
          <w:rPr>
            <w:noProof/>
            <w:webHidden/>
          </w:rPr>
          <w:fldChar w:fldCharType="begin"/>
        </w:r>
        <w:r w:rsidR="00365107">
          <w:rPr>
            <w:noProof/>
            <w:webHidden/>
          </w:rPr>
          <w:instrText xml:space="preserve"> PAGEREF _Toc27652692 \h </w:instrText>
        </w:r>
        <w:r w:rsidR="00365107">
          <w:rPr>
            <w:noProof/>
            <w:webHidden/>
          </w:rPr>
        </w:r>
        <w:r w:rsidR="00365107">
          <w:rPr>
            <w:noProof/>
            <w:webHidden/>
          </w:rPr>
          <w:fldChar w:fldCharType="separate"/>
        </w:r>
        <w:r w:rsidR="008E047F">
          <w:rPr>
            <w:noProof/>
            <w:webHidden/>
          </w:rPr>
          <w:t>10</w:t>
        </w:r>
        <w:r w:rsidR="00365107">
          <w:rPr>
            <w:noProof/>
            <w:webHidden/>
          </w:rPr>
          <w:fldChar w:fldCharType="end"/>
        </w:r>
      </w:hyperlink>
    </w:p>
    <w:p w14:paraId="20A57EE7" w14:textId="64E2C24F" w:rsidR="00365107" w:rsidRDefault="00D23991">
      <w:pPr>
        <w:pStyle w:val="TOC2"/>
        <w:tabs>
          <w:tab w:val="left" w:pos="1100"/>
        </w:tabs>
        <w:rPr>
          <w:rFonts w:eastAsiaTheme="minorEastAsia" w:cstheme="minorBidi"/>
          <w:noProof/>
          <w:color w:val="auto"/>
          <w:szCs w:val="22"/>
        </w:rPr>
      </w:pPr>
      <w:hyperlink w:anchor="_Toc27652693" w:history="1">
        <w:r w:rsidR="00365107" w:rsidRPr="006A2879">
          <w:rPr>
            <w:rStyle w:val="Hyperlink"/>
            <w:noProof/>
          </w:rPr>
          <w:t>1.1</w:t>
        </w:r>
        <w:r w:rsidR="00365107">
          <w:rPr>
            <w:rFonts w:eastAsiaTheme="minorEastAsia" w:cstheme="minorBidi"/>
            <w:noProof/>
            <w:color w:val="auto"/>
            <w:szCs w:val="22"/>
          </w:rPr>
          <w:tab/>
        </w:r>
        <w:r w:rsidR="00365107" w:rsidRPr="006A2879">
          <w:rPr>
            <w:rStyle w:val="Hyperlink"/>
            <w:noProof/>
          </w:rPr>
          <w:t>Changes to the Board membership</w:t>
        </w:r>
        <w:r w:rsidR="00365107">
          <w:rPr>
            <w:noProof/>
            <w:webHidden/>
          </w:rPr>
          <w:tab/>
        </w:r>
        <w:r w:rsidR="00365107">
          <w:rPr>
            <w:noProof/>
            <w:webHidden/>
          </w:rPr>
          <w:fldChar w:fldCharType="begin"/>
        </w:r>
        <w:r w:rsidR="00365107">
          <w:rPr>
            <w:noProof/>
            <w:webHidden/>
          </w:rPr>
          <w:instrText xml:space="preserve"> PAGEREF _Toc27652693 \h </w:instrText>
        </w:r>
        <w:r w:rsidR="00365107">
          <w:rPr>
            <w:noProof/>
            <w:webHidden/>
          </w:rPr>
        </w:r>
        <w:r w:rsidR="00365107">
          <w:rPr>
            <w:noProof/>
            <w:webHidden/>
          </w:rPr>
          <w:fldChar w:fldCharType="separate"/>
        </w:r>
        <w:r w:rsidR="008E047F">
          <w:rPr>
            <w:noProof/>
            <w:webHidden/>
          </w:rPr>
          <w:t>10</w:t>
        </w:r>
        <w:r w:rsidR="00365107">
          <w:rPr>
            <w:noProof/>
            <w:webHidden/>
          </w:rPr>
          <w:fldChar w:fldCharType="end"/>
        </w:r>
      </w:hyperlink>
    </w:p>
    <w:p w14:paraId="08022808" w14:textId="7BFC109A" w:rsidR="00365107" w:rsidRDefault="00D23991">
      <w:pPr>
        <w:pStyle w:val="TOC2"/>
        <w:tabs>
          <w:tab w:val="left" w:pos="1100"/>
        </w:tabs>
        <w:rPr>
          <w:rFonts w:eastAsiaTheme="minorEastAsia" w:cstheme="minorBidi"/>
          <w:noProof/>
          <w:color w:val="auto"/>
          <w:szCs w:val="22"/>
        </w:rPr>
      </w:pPr>
      <w:hyperlink w:anchor="_Toc27652694" w:history="1">
        <w:r w:rsidR="00365107" w:rsidRPr="006A2879">
          <w:rPr>
            <w:rStyle w:val="Hyperlink"/>
            <w:noProof/>
          </w:rPr>
          <w:t>1.2</w:t>
        </w:r>
        <w:r w:rsidR="00365107">
          <w:rPr>
            <w:rFonts w:eastAsiaTheme="minorEastAsia" w:cstheme="minorBidi"/>
            <w:noProof/>
            <w:color w:val="auto"/>
            <w:szCs w:val="22"/>
          </w:rPr>
          <w:tab/>
        </w:r>
        <w:r w:rsidR="00365107" w:rsidRPr="006A2879">
          <w:rPr>
            <w:rStyle w:val="Hyperlink"/>
            <w:noProof/>
          </w:rPr>
          <w:t>The Board’s mission and function</w:t>
        </w:r>
        <w:r w:rsidR="00365107">
          <w:rPr>
            <w:noProof/>
            <w:webHidden/>
          </w:rPr>
          <w:tab/>
        </w:r>
        <w:r w:rsidR="00365107">
          <w:rPr>
            <w:noProof/>
            <w:webHidden/>
          </w:rPr>
          <w:fldChar w:fldCharType="begin"/>
        </w:r>
        <w:r w:rsidR="00365107">
          <w:rPr>
            <w:noProof/>
            <w:webHidden/>
          </w:rPr>
          <w:instrText xml:space="preserve"> PAGEREF _Toc27652694 \h </w:instrText>
        </w:r>
        <w:r w:rsidR="00365107">
          <w:rPr>
            <w:noProof/>
            <w:webHidden/>
          </w:rPr>
        </w:r>
        <w:r w:rsidR="00365107">
          <w:rPr>
            <w:noProof/>
            <w:webHidden/>
          </w:rPr>
          <w:fldChar w:fldCharType="separate"/>
        </w:r>
        <w:r w:rsidR="008E047F">
          <w:rPr>
            <w:noProof/>
            <w:webHidden/>
          </w:rPr>
          <w:t>10</w:t>
        </w:r>
        <w:r w:rsidR="00365107">
          <w:rPr>
            <w:noProof/>
            <w:webHidden/>
          </w:rPr>
          <w:fldChar w:fldCharType="end"/>
        </w:r>
      </w:hyperlink>
    </w:p>
    <w:p w14:paraId="55C672A7" w14:textId="31268B6A" w:rsidR="00365107" w:rsidRDefault="00D23991">
      <w:pPr>
        <w:pStyle w:val="TOC2"/>
        <w:tabs>
          <w:tab w:val="left" w:pos="1100"/>
        </w:tabs>
        <w:rPr>
          <w:rFonts w:eastAsiaTheme="minorEastAsia" w:cstheme="minorBidi"/>
          <w:noProof/>
          <w:color w:val="auto"/>
          <w:szCs w:val="22"/>
        </w:rPr>
      </w:pPr>
      <w:hyperlink w:anchor="_Toc27652695" w:history="1">
        <w:r w:rsidR="00365107" w:rsidRPr="006A2879">
          <w:rPr>
            <w:rStyle w:val="Hyperlink"/>
            <w:noProof/>
          </w:rPr>
          <w:t>1.3</w:t>
        </w:r>
        <w:r w:rsidR="00365107">
          <w:rPr>
            <w:rFonts w:eastAsiaTheme="minorEastAsia" w:cstheme="minorBidi"/>
            <w:noProof/>
            <w:color w:val="auto"/>
            <w:szCs w:val="22"/>
          </w:rPr>
          <w:tab/>
        </w:r>
        <w:r w:rsidR="00365107" w:rsidRPr="006A2879">
          <w:rPr>
            <w:rStyle w:val="Hyperlink"/>
            <w:noProof/>
          </w:rPr>
          <w:t>Stakeholder Communications and Engagement</w:t>
        </w:r>
        <w:r w:rsidR="00365107">
          <w:rPr>
            <w:noProof/>
            <w:webHidden/>
          </w:rPr>
          <w:tab/>
        </w:r>
        <w:r w:rsidR="00365107">
          <w:rPr>
            <w:noProof/>
            <w:webHidden/>
          </w:rPr>
          <w:fldChar w:fldCharType="begin"/>
        </w:r>
        <w:r w:rsidR="00365107">
          <w:rPr>
            <w:noProof/>
            <w:webHidden/>
          </w:rPr>
          <w:instrText xml:space="preserve"> PAGEREF _Toc27652695 \h </w:instrText>
        </w:r>
        <w:r w:rsidR="00365107">
          <w:rPr>
            <w:noProof/>
            <w:webHidden/>
          </w:rPr>
        </w:r>
        <w:r w:rsidR="00365107">
          <w:rPr>
            <w:noProof/>
            <w:webHidden/>
          </w:rPr>
          <w:fldChar w:fldCharType="separate"/>
        </w:r>
        <w:r w:rsidR="008E047F">
          <w:rPr>
            <w:noProof/>
            <w:webHidden/>
          </w:rPr>
          <w:t>11</w:t>
        </w:r>
        <w:r w:rsidR="00365107">
          <w:rPr>
            <w:noProof/>
            <w:webHidden/>
          </w:rPr>
          <w:fldChar w:fldCharType="end"/>
        </w:r>
      </w:hyperlink>
    </w:p>
    <w:p w14:paraId="39294FE7" w14:textId="781B4519" w:rsidR="00365107" w:rsidRDefault="00D23991">
      <w:pPr>
        <w:pStyle w:val="TOC1"/>
        <w:tabs>
          <w:tab w:val="left" w:pos="567"/>
        </w:tabs>
        <w:rPr>
          <w:rFonts w:eastAsiaTheme="minorEastAsia" w:cstheme="minorBidi"/>
          <w:b w:val="0"/>
          <w:smallCaps w:val="0"/>
          <w:noProof/>
          <w:color w:val="auto"/>
          <w:sz w:val="22"/>
        </w:rPr>
      </w:pPr>
      <w:hyperlink w:anchor="_Toc27652696" w:history="1">
        <w:r w:rsidR="00365107" w:rsidRPr="006A2879">
          <w:rPr>
            <w:rStyle w:val="Hyperlink"/>
            <w:noProof/>
          </w:rPr>
          <w:t>2</w:t>
        </w:r>
        <w:r w:rsidR="00365107">
          <w:rPr>
            <w:rFonts w:eastAsiaTheme="minorEastAsia" w:cstheme="minorBidi"/>
            <w:b w:val="0"/>
            <w:smallCaps w:val="0"/>
            <w:noProof/>
            <w:color w:val="auto"/>
            <w:sz w:val="22"/>
          </w:rPr>
          <w:tab/>
        </w:r>
        <w:r w:rsidR="00365107" w:rsidRPr="006A2879">
          <w:rPr>
            <w:rStyle w:val="Hyperlink"/>
            <w:noProof/>
          </w:rPr>
          <w:t>Activities of the Board in 2018</w:t>
        </w:r>
        <w:r w:rsidR="00365107" w:rsidRPr="006A2879">
          <w:rPr>
            <w:rStyle w:val="Hyperlink"/>
            <w:noProof/>
          </w:rPr>
          <w:noBreakHyphen/>
          <w:t>19</w:t>
        </w:r>
        <w:r w:rsidR="00365107">
          <w:rPr>
            <w:noProof/>
            <w:webHidden/>
          </w:rPr>
          <w:tab/>
        </w:r>
        <w:r w:rsidR="00365107">
          <w:rPr>
            <w:noProof/>
            <w:webHidden/>
          </w:rPr>
          <w:fldChar w:fldCharType="begin"/>
        </w:r>
        <w:r w:rsidR="00365107">
          <w:rPr>
            <w:noProof/>
            <w:webHidden/>
          </w:rPr>
          <w:instrText xml:space="preserve"> PAGEREF _Toc27652696 \h </w:instrText>
        </w:r>
        <w:r w:rsidR="00365107">
          <w:rPr>
            <w:noProof/>
            <w:webHidden/>
          </w:rPr>
        </w:r>
        <w:r w:rsidR="00365107">
          <w:rPr>
            <w:noProof/>
            <w:webHidden/>
          </w:rPr>
          <w:fldChar w:fldCharType="separate"/>
        </w:r>
        <w:r w:rsidR="008E047F">
          <w:rPr>
            <w:noProof/>
            <w:webHidden/>
          </w:rPr>
          <w:t>12</w:t>
        </w:r>
        <w:r w:rsidR="00365107">
          <w:rPr>
            <w:noProof/>
            <w:webHidden/>
          </w:rPr>
          <w:fldChar w:fldCharType="end"/>
        </w:r>
      </w:hyperlink>
    </w:p>
    <w:p w14:paraId="00EB2597" w14:textId="5523C63C" w:rsidR="00365107" w:rsidRDefault="00D23991">
      <w:pPr>
        <w:pStyle w:val="TOC2"/>
        <w:tabs>
          <w:tab w:val="left" w:pos="1100"/>
        </w:tabs>
        <w:rPr>
          <w:rFonts w:eastAsiaTheme="minorEastAsia" w:cstheme="minorBidi"/>
          <w:noProof/>
          <w:color w:val="auto"/>
          <w:szCs w:val="22"/>
        </w:rPr>
      </w:pPr>
      <w:hyperlink w:anchor="_Toc27652697" w:history="1">
        <w:r w:rsidR="00365107" w:rsidRPr="006A2879">
          <w:rPr>
            <w:rStyle w:val="Hyperlink"/>
            <w:noProof/>
          </w:rPr>
          <w:t>2.1</w:t>
        </w:r>
        <w:r w:rsidR="00365107">
          <w:rPr>
            <w:rFonts w:eastAsiaTheme="minorEastAsia" w:cstheme="minorBidi"/>
            <w:noProof/>
            <w:color w:val="auto"/>
            <w:szCs w:val="22"/>
          </w:rPr>
          <w:tab/>
        </w:r>
        <w:r w:rsidR="00365107" w:rsidRPr="006A2879">
          <w:rPr>
            <w:rStyle w:val="Hyperlink"/>
            <w:noProof/>
          </w:rPr>
          <w:t>Overview</w:t>
        </w:r>
        <w:r w:rsidR="00365107">
          <w:rPr>
            <w:noProof/>
            <w:webHidden/>
          </w:rPr>
          <w:tab/>
        </w:r>
        <w:r w:rsidR="00365107">
          <w:rPr>
            <w:noProof/>
            <w:webHidden/>
          </w:rPr>
          <w:fldChar w:fldCharType="begin"/>
        </w:r>
        <w:r w:rsidR="00365107">
          <w:rPr>
            <w:noProof/>
            <w:webHidden/>
          </w:rPr>
          <w:instrText xml:space="preserve"> PAGEREF _Toc27652697 \h </w:instrText>
        </w:r>
        <w:r w:rsidR="00365107">
          <w:rPr>
            <w:noProof/>
            <w:webHidden/>
          </w:rPr>
        </w:r>
        <w:r w:rsidR="00365107">
          <w:rPr>
            <w:noProof/>
            <w:webHidden/>
          </w:rPr>
          <w:fldChar w:fldCharType="separate"/>
        </w:r>
        <w:r w:rsidR="008E047F">
          <w:rPr>
            <w:noProof/>
            <w:webHidden/>
          </w:rPr>
          <w:t>12</w:t>
        </w:r>
        <w:r w:rsidR="00365107">
          <w:rPr>
            <w:noProof/>
            <w:webHidden/>
          </w:rPr>
          <w:fldChar w:fldCharType="end"/>
        </w:r>
      </w:hyperlink>
    </w:p>
    <w:p w14:paraId="580DCF12" w14:textId="2FEEC599" w:rsidR="00365107" w:rsidRDefault="00D23991">
      <w:pPr>
        <w:pStyle w:val="TOC2"/>
        <w:tabs>
          <w:tab w:val="left" w:pos="1100"/>
        </w:tabs>
        <w:rPr>
          <w:rFonts w:eastAsiaTheme="minorEastAsia" w:cstheme="minorBidi"/>
          <w:noProof/>
          <w:color w:val="auto"/>
          <w:szCs w:val="22"/>
        </w:rPr>
      </w:pPr>
      <w:hyperlink w:anchor="_Toc27652698" w:history="1">
        <w:r w:rsidR="00365107" w:rsidRPr="006A2879">
          <w:rPr>
            <w:rStyle w:val="Hyperlink"/>
            <w:noProof/>
          </w:rPr>
          <w:t>2.2</w:t>
        </w:r>
        <w:r w:rsidR="00365107">
          <w:rPr>
            <w:rFonts w:eastAsiaTheme="minorEastAsia" w:cstheme="minorBidi"/>
            <w:noProof/>
            <w:color w:val="auto"/>
            <w:szCs w:val="22"/>
          </w:rPr>
          <w:tab/>
        </w:r>
        <w:r w:rsidR="00365107" w:rsidRPr="006A2879">
          <w:rPr>
            <w:rStyle w:val="Hyperlink"/>
            <w:noProof/>
          </w:rPr>
          <w:t>Completed projects</w:t>
        </w:r>
        <w:r w:rsidR="00365107">
          <w:rPr>
            <w:noProof/>
            <w:webHidden/>
          </w:rPr>
          <w:tab/>
        </w:r>
        <w:r w:rsidR="00365107">
          <w:rPr>
            <w:noProof/>
            <w:webHidden/>
          </w:rPr>
          <w:fldChar w:fldCharType="begin"/>
        </w:r>
        <w:r w:rsidR="00365107">
          <w:rPr>
            <w:noProof/>
            <w:webHidden/>
          </w:rPr>
          <w:instrText xml:space="preserve"> PAGEREF _Toc27652698 \h </w:instrText>
        </w:r>
        <w:r w:rsidR="00365107">
          <w:rPr>
            <w:noProof/>
            <w:webHidden/>
          </w:rPr>
        </w:r>
        <w:r w:rsidR="00365107">
          <w:rPr>
            <w:noProof/>
            <w:webHidden/>
          </w:rPr>
          <w:fldChar w:fldCharType="separate"/>
        </w:r>
        <w:r w:rsidR="008E047F">
          <w:rPr>
            <w:noProof/>
            <w:webHidden/>
          </w:rPr>
          <w:t>13</w:t>
        </w:r>
        <w:r w:rsidR="00365107">
          <w:rPr>
            <w:noProof/>
            <w:webHidden/>
          </w:rPr>
          <w:fldChar w:fldCharType="end"/>
        </w:r>
      </w:hyperlink>
    </w:p>
    <w:p w14:paraId="24CDCEBE" w14:textId="2AC3E217" w:rsidR="00365107" w:rsidRDefault="00D23991">
      <w:pPr>
        <w:pStyle w:val="TOC2"/>
        <w:tabs>
          <w:tab w:val="left" w:pos="1100"/>
        </w:tabs>
        <w:rPr>
          <w:rFonts w:eastAsiaTheme="minorEastAsia" w:cstheme="minorBidi"/>
          <w:noProof/>
          <w:color w:val="auto"/>
          <w:szCs w:val="22"/>
        </w:rPr>
      </w:pPr>
      <w:hyperlink w:anchor="_Toc27652699" w:history="1">
        <w:r w:rsidR="00365107" w:rsidRPr="006A2879">
          <w:rPr>
            <w:rStyle w:val="Hyperlink"/>
            <w:noProof/>
          </w:rPr>
          <w:t>2.3</w:t>
        </w:r>
        <w:r w:rsidR="00365107">
          <w:rPr>
            <w:rFonts w:eastAsiaTheme="minorEastAsia" w:cstheme="minorBidi"/>
            <w:noProof/>
            <w:color w:val="auto"/>
            <w:szCs w:val="22"/>
          </w:rPr>
          <w:tab/>
        </w:r>
        <w:r w:rsidR="00365107" w:rsidRPr="006A2879">
          <w:rPr>
            <w:rStyle w:val="Hyperlink"/>
            <w:noProof/>
          </w:rPr>
          <w:t>Ongoing reviews/projects</w:t>
        </w:r>
        <w:r w:rsidR="00365107">
          <w:rPr>
            <w:noProof/>
            <w:webHidden/>
          </w:rPr>
          <w:tab/>
        </w:r>
        <w:r w:rsidR="00365107">
          <w:rPr>
            <w:noProof/>
            <w:webHidden/>
          </w:rPr>
          <w:fldChar w:fldCharType="begin"/>
        </w:r>
        <w:r w:rsidR="00365107">
          <w:rPr>
            <w:noProof/>
            <w:webHidden/>
          </w:rPr>
          <w:instrText xml:space="preserve"> PAGEREF _Toc27652699 \h </w:instrText>
        </w:r>
        <w:r w:rsidR="00365107">
          <w:rPr>
            <w:noProof/>
            <w:webHidden/>
          </w:rPr>
        </w:r>
        <w:r w:rsidR="00365107">
          <w:rPr>
            <w:noProof/>
            <w:webHidden/>
          </w:rPr>
          <w:fldChar w:fldCharType="separate"/>
        </w:r>
        <w:r w:rsidR="008E047F">
          <w:rPr>
            <w:noProof/>
            <w:webHidden/>
          </w:rPr>
          <w:t>15</w:t>
        </w:r>
        <w:r w:rsidR="00365107">
          <w:rPr>
            <w:noProof/>
            <w:webHidden/>
          </w:rPr>
          <w:fldChar w:fldCharType="end"/>
        </w:r>
      </w:hyperlink>
    </w:p>
    <w:p w14:paraId="06810EDE" w14:textId="28BAF72F" w:rsidR="00365107" w:rsidRDefault="00D23991">
      <w:pPr>
        <w:pStyle w:val="TOC2"/>
        <w:tabs>
          <w:tab w:val="left" w:pos="1100"/>
        </w:tabs>
        <w:rPr>
          <w:rFonts w:eastAsiaTheme="minorEastAsia" w:cstheme="minorBidi"/>
          <w:noProof/>
          <w:color w:val="auto"/>
          <w:szCs w:val="22"/>
        </w:rPr>
      </w:pPr>
      <w:hyperlink w:anchor="_Toc27652700" w:history="1">
        <w:r w:rsidR="00365107" w:rsidRPr="006A2879">
          <w:rPr>
            <w:rStyle w:val="Hyperlink"/>
            <w:noProof/>
          </w:rPr>
          <w:t>2.4</w:t>
        </w:r>
        <w:r w:rsidR="00365107">
          <w:rPr>
            <w:rFonts w:eastAsiaTheme="minorEastAsia" w:cstheme="minorBidi"/>
            <w:noProof/>
            <w:color w:val="auto"/>
            <w:szCs w:val="22"/>
          </w:rPr>
          <w:tab/>
        </w:r>
        <w:r w:rsidR="00365107" w:rsidRPr="006A2879">
          <w:rPr>
            <w:rStyle w:val="Hyperlink"/>
            <w:noProof/>
          </w:rPr>
          <w:t>Other ongoing work</w:t>
        </w:r>
        <w:r w:rsidR="00365107">
          <w:rPr>
            <w:noProof/>
            <w:webHidden/>
          </w:rPr>
          <w:tab/>
        </w:r>
        <w:r w:rsidR="00365107">
          <w:rPr>
            <w:noProof/>
            <w:webHidden/>
          </w:rPr>
          <w:fldChar w:fldCharType="begin"/>
        </w:r>
        <w:r w:rsidR="00365107">
          <w:rPr>
            <w:noProof/>
            <w:webHidden/>
          </w:rPr>
          <w:instrText xml:space="preserve"> PAGEREF _Toc27652700 \h </w:instrText>
        </w:r>
        <w:r w:rsidR="00365107">
          <w:rPr>
            <w:noProof/>
            <w:webHidden/>
          </w:rPr>
        </w:r>
        <w:r w:rsidR="00365107">
          <w:rPr>
            <w:noProof/>
            <w:webHidden/>
          </w:rPr>
          <w:fldChar w:fldCharType="separate"/>
        </w:r>
        <w:r w:rsidR="008E047F">
          <w:rPr>
            <w:noProof/>
            <w:webHidden/>
          </w:rPr>
          <w:t>18</w:t>
        </w:r>
        <w:r w:rsidR="00365107">
          <w:rPr>
            <w:noProof/>
            <w:webHidden/>
          </w:rPr>
          <w:fldChar w:fldCharType="end"/>
        </w:r>
      </w:hyperlink>
    </w:p>
    <w:p w14:paraId="202404D6" w14:textId="31A7E2D6" w:rsidR="00365107" w:rsidRDefault="00D23991">
      <w:pPr>
        <w:pStyle w:val="TOC2"/>
        <w:tabs>
          <w:tab w:val="left" w:pos="1100"/>
        </w:tabs>
        <w:rPr>
          <w:rFonts w:eastAsiaTheme="minorEastAsia" w:cstheme="minorBidi"/>
          <w:noProof/>
          <w:color w:val="auto"/>
          <w:szCs w:val="22"/>
        </w:rPr>
      </w:pPr>
      <w:hyperlink w:anchor="_Toc27652701" w:history="1">
        <w:r w:rsidR="00365107" w:rsidRPr="006A2879">
          <w:rPr>
            <w:rStyle w:val="Hyperlink"/>
            <w:noProof/>
          </w:rPr>
          <w:t>2.5</w:t>
        </w:r>
        <w:r w:rsidR="00365107">
          <w:rPr>
            <w:rFonts w:eastAsiaTheme="minorEastAsia" w:cstheme="minorBidi"/>
            <w:noProof/>
            <w:color w:val="auto"/>
            <w:szCs w:val="22"/>
          </w:rPr>
          <w:tab/>
        </w:r>
        <w:r w:rsidR="00365107" w:rsidRPr="006A2879">
          <w:rPr>
            <w:rStyle w:val="Hyperlink"/>
            <w:noProof/>
          </w:rPr>
          <w:t>Stakeholder Consultation</w:t>
        </w:r>
        <w:r w:rsidR="00365107">
          <w:rPr>
            <w:noProof/>
            <w:webHidden/>
          </w:rPr>
          <w:tab/>
        </w:r>
        <w:r w:rsidR="00365107">
          <w:rPr>
            <w:noProof/>
            <w:webHidden/>
          </w:rPr>
          <w:fldChar w:fldCharType="begin"/>
        </w:r>
        <w:r w:rsidR="00365107">
          <w:rPr>
            <w:noProof/>
            <w:webHidden/>
          </w:rPr>
          <w:instrText xml:space="preserve"> PAGEREF _Toc27652701 \h </w:instrText>
        </w:r>
        <w:r w:rsidR="00365107">
          <w:rPr>
            <w:noProof/>
            <w:webHidden/>
          </w:rPr>
        </w:r>
        <w:r w:rsidR="00365107">
          <w:rPr>
            <w:noProof/>
            <w:webHidden/>
          </w:rPr>
          <w:fldChar w:fldCharType="separate"/>
        </w:r>
        <w:r w:rsidR="008E047F">
          <w:rPr>
            <w:noProof/>
            <w:webHidden/>
          </w:rPr>
          <w:t>20</w:t>
        </w:r>
        <w:r w:rsidR="00365107">
          <w:rPr>
            <w:noProof/>
            <w:webHidden/>
          </w:rPr>
          <w:fldChar w:fldCharType="end"/>
        </w:r>
      </w:hyperlink>
    </w:p>
    <w:p w14:paraId="20DA4356" w14:textId="2FD90FA2" w:rsidR="00365107" w:rsidRDefault="00D23991">
      <w:pPr>
        <w:pStyle w:val="TOC1"/>
        <w:tabs>
          <w:tab w:val="left" w:pos="567"/>
        </w:tabs>
        <w:rPr>
          <w:rFonts w:eastAsiaTheme="minorEastAsia" w:cstheme="minorBidi"/>
          <w:b w:val="0"/>
          <w:smallCaps w:val="0"/>
          <w:noProof/>
          <w:color w:val="auto"/>
          <w:sz w:val="22"/>
        </w:rPr>
      </w:pPr>
      <w:hyperlink w:anchor="_Toc27652702" w:history="1">
        <w:r w:rsidR="00365107" w:rsidRPr="006A2879">
          <w:rPr>
            <w:rStyle w:val="Hyperlink"/>
            <w:noProof/>
          </w:rPr>
          <w:t>3</w:t>
        </w:r>
        <w:r w:rsidR="00365107">
          <w:rPr>
            <w:rFonts w:eastAsiaTheme="minorEastAsia" w:cstheme="minorBidi"/>
            <w:b w:val="0"/>
            <w:smallCaps w:val="0"/>
            <w:noProof/>
            <w:color w:val="auto"/>
            <w:sz w:val="22"/>
          </w:rPr>
          <w:tab/>
        </w:r>
        <w:r w:rsidR="00365107" w:rsidRPr="006A2879">
          <w:rPr>
            <w:rStyle w:val="Hyperlink"/>
            <w:noProof/>
          </w:rPr>
          <w:t>The Year ahead</w:t>
        </w:r>
        <w:r w:rsidR="00365107">
          <w:rPr>
            <w:noProof/>
            <w:webHidden/>
          </w:rPr>
          <w:tab/>
        </w:r>
        <w:r w:rsidR="00365107">
          <w:rPr>
            <w:noProof/>
            <w:webHidden/>
          </w:rPr>
          <w:fldChar w:fldCharType="begin"/>
        </w:r>
        <w:r w:rsidR="00365107">
          <w:rPr>
            <w:noProof/>
            <w:webHidden/>
          </w:rPr>
          <w:instrText xml:space="preserve"> PAGEREF _Toc27652702 \h </w:instrText>
        </w:r>
        <w:r w:rsidR="00365107">
          <w:rPr>
            <w:noProof/>
            <w:webHidden/>
          </w:rPr>
        </w:r>
        <w:r w:rsidR="00365107">
          <w:rPr>
            <w:noProof/>
            <w:webHidden/>
          </w:rPr>
          <w:fldChar w:fldCharType="separate"/>
        </w:r>
        <w:r w:rsidR="008E047F">
          <w:rPr>
            <w:noProof/>
            <w:webHidden/>
          </w:rPr>
          <w:t>23</w:t>
        </w:r>
        <w:r w:rsidR="00365107">
          <w:rPr>
            <w:noProof/>
            <w:webHidden/>
          </w:rPr>
          <w:fldChar w:fldCharType="end"/>
        </w:r>
      </w:hyperlink>
    </w:p>
    <w:p w14:paraId="7055F98E" w14:textId="7AAA9893" w:rsidR="00365107" w:rsidRDefault="00D23991">
      <w:pPr>
        <w:pStyle w:val="TOC1"/>
        <w:tabs>
          <w:tab w:val="left" w:pos="567"/>
        </w:tabs>
        <w:rPr>
          <w:rFonts w:eastAsiaTheme="minorEastAsia" w:cstheme="minorBidi"/>
          <w:b w:val="0"/>
          <w:smallCaps w:val="0"/>
          <w:noProof/>
          <w:color w:val="auto"/>
          <w:sz w:val="22"/>
        </w:rPr>
      </w:pPr>
      <w:hyperlink w:anchor="_Toc27652703" w:history="1">
        <w:r w:rsidR="00365107" w:rsidRPr="006A2879">
          <w:rPr>
            <w:rStyle w:val="Hyperlink"/>
            <w:noProof/>
          </w:rPr>
          <w:t>4</w:t>
        </w:r>
        <w:r w:rsidR="00365107">
          <w:rPr>
            <w:rFonts w:eastAsiaTheme="minorEastAsia" w:cstheme="minorBidi"/>
            <w:b w:val="0"/>
            <w:smallCaps w:val="0"/>
            <w:noProof/>
            <w:color w:val="auto"/>
            <w:sz w:val="22"/>
          </w:rPr>
          <w:tab/>
        </w:r>
        <w:r w:rsidR="00365107" w:rsidRPr="006A2879">
          <w:rPr>
            <w:rStyle w:val="Hyperlink"/>
            <w:noProof/>
          </w:rPr>
          <w:t>appendix A: the board’s charter</w:t>
        </w:r>
        <w:r w:rsidR="00365107">
          <w:rPr>
            <w:noProof/>
            <w:webHidden/>
          </w:rPr>
          <w:tab/>
        </w:r>
        <w:r w:rsidR="00365107">
          <w:rPr>
            <w:noProof/>
            <w:webHidden/>
          </w:rPr>
          <w:fldChar w:fldCharType="begin"/>
        </w:r>
        <w:r w:rsidR="00365107">
          <w:rPr>
            <w:noProof/>
            <w:webHidden/>
          </w:rPr>
          <w:instrText xml:space="preserve"> PAGEREF _Toc27652703 \h </w:instrText>
        </w:r>
        <w:r w:rsidR="00365107">
          <w:rPr>
            <w:noProof/>
            <w:webHidden/>
          </w:rPr>
        </w:r>
        <w:r w:rsidR="00365107">
          <w:rPr>
            <w:noProof/>
            <w:webHidden/>
          </w:rPr>
          <w:fldChar w:fldCharType="separate"/>
        </w:r>
        <w:r w:rsidR="008E047F">
          <w:rPr>
            <w:noProof/>
            <w:webHidden/>
          </w:rPr>
          <w:t>24</w:t>
        </w:r>
        <w:r w:rsidR="00365107">
          <w:rPr>
            <w:noProof/>
            <w:webHidden/>
          </w:rPr>
          <w:fldChar w:fldCharType="end"/>
        </w:r>
      </w:hyperlink>
    </w:p>
    <w:p w14:paraId="2D53A915" w14:textId="558C5DFC" w:rsidR="00365107" w:rsidRDefault="00D23991">
      <w:pPr>
        <w:pStyle w:val="TOC2"/>
        <w:tabs>
          <w:tab w:val="left" w:pos="1100"/>
        </w:tabs>
        <w:rPr>
          <w:rFonts w:eastAsiaTheme="minorEastAsia" w:cstheme="minorBidi"/>
          <w:noProof/>
          <w:color w:val="auto"/>
          <w:szCs w:val="22"/>
        </w:rPr>
      </w:pPr>
      <w:hyperlink w:anchor="_Toc27652704" w:history="1">
        <w:r w:rsidR="00365107" w:rsidRPr="006A2879">
          <w:rPr>
            <w:rStyle w:val="Hyperlink"/>
            <w:noProof/>
          </w:rPr>
          <w:t>4.1</w:t>
        </w:r>
        <w:r w:rsidR="00365107">
          <w:rPr>
            <w:rFonts w:eastAsiaTheme="minorEastAsia" w:cstheme="minorBidi"/>
            <w:noProof/>
            <w:color w:val="auto"/>
            <w:szCs w:val="22"/>
          </w:rPr>
          <w:tab/>
        </w:r>
        <w:r w:rsidR="00365107" w:rsidRPr="006A2879">
          <w:rPr>
            <w:rStyle w:val="Hyperlink"/>
            <w:noProof/>
          </w:rPr>
          <w:t>The Charter</w:t>
        </w:r>
        <w:r w:rsidR="00365107">
          <w:rPr>
            <w:noProof/>
            <w:webHidden/>
          </w:rPr>
          <w:tab/>
        </w:r>
        <w:r w:rsidR="00365107">
          <w:rPr>
            <w:noProof/>
            <w:webHidden/>
          </w:rPr>
          <w:fldChar w:fldCharType="begin"/>
        </w:r>
        <w:r w:rsidR="00365107">
          <w:rPr>
            <w:noProof/>
            <w:webHidden/>
          </w:rPr>
          <w:instrText xml:space="preserve"> PAGEREF _Toc27652704 \h </w:instrText>
        </w:r>
        <w:r w:rsidR="00365107">
          <w:rPr>
            <w:noProof/>
            <w:webHidden/>
          </w:rPr>
        </w:r>
        <w:r w:rsidR="00365107">
          <w:rPr>
            <w:noProof/>
            <w:webHidden/>
          </w:rPr>
          <w:fldChar w:fldCharType="separate"/>
        </w:r>
        <w:r w:rsidR="008E047F">
          <w:rPr>
            <w:noProof/>
            <w:webHidden/>
          </w:rPr>
          <w:t>24</w:t>
        </w:r>
        <w:r w:rsidR="00365107">
          <w:rPr>
            <w:noProof/>
            <w:webHidden/>
          </w:rPr>
          <w:fldChar w:fldCharType="end"/>
        </w:r>
      </w:hyperlink>
    </w:p>
    <w:p w14:paraId="7D8A6510" w14:textId="2E9F3628" w:rsidR="00365107" w:rsidRDefault="00D23991">
      <w:pPr>
        <w:pStyle w:val="TOC1"/>
        <w:tabs>
          <w:tab w:val="left" w:pos="567"/>
        </w:tabs>
        <w:rPr>
          <w:rFonts w:eastAsiaTheme="minorEastAsia" w:cstheme="minorBidi"/>
          <w:b w:val="0"/>
          <w:smallCaps w:val="0"/>
          <w:noProof/>
          <w:color w:val="auto"/>
          <w:sz w:val="22"/>
        </w:rPr>
      </w:pPr>
      <w:hyperlink w:anchor="_Toc27652705" w:history="1">
        <w:r w:rsidR="00365107" w:rsidRPr="006A2879">
          <w:rPr>
            <w:rStyle w:val="Hyperlink"/>
            <w:noProof/>
          </w:rPr>
          <w:t>5</w:t>
        </w:r>
        <w:r w:rsidR="00365107">
          <w:rPr>
            <w:rFonts w:eastAsiaTheme="minorEastAsia" w:cstheme="minorBidi"/>
            <w:b w:val="0"/>
            <w:smallCaps w:val="0"/>
            <w:noProof/>
            <w:color w:val="auto"/>
            <w:sz w:val="22"/>
          </w:rPr>
          <w:tab/>
        </w:r>
        <w:r w:rsidR="00365107" w:rsidRPr="006A2879">
          <w:rPr>
            <w:rStyle w:val="Hyperlink"/>
            <w:noProof/>
          </w:rPr>
          <w:t>appendix b: membership of the Board</w:t>
        </w:r>
        <w:r w:rsidR="00365107">
          <w:rPr>
            <w:noProof/>
            <w:webHidden/>
          </w:rPr>
          <w:tab/>
        </w:r>
        <w:r w:rsidR="00365107">
          <w:rPr>
            <w:noProof/>
            <w:webHidden/>
          </w:rPr>
          <w:fldChar w:fldCharType="begin"/>
        </w:r>
        <w:r w:rsidR="00365107">
          <w:rPr>
            <w:noProof/>
            <w:webHidden/>
          </w:rPr>
          <w:instrText xml:space="preserve"> PAGEREF _Toc27652705 \h </w:instrText>
        </w:r>
        <w:r w:rsidR="00365107">
          <w:rPr>
            <w:noProof/>
            <w:webHidden/>
          </w:rPr>
        </w:r>
        <w:r w:rsidR="00365107">
          <w:rPr>
            <w:noProof/>
            <w:webHidden/>
          </w:rPr>
          <w:fldChar w:fldCharType="separate"/>
        </w:r>
        <w:r w:rsidR="008E047F">
          <w:rPr>
            <w:noProof/>
            <w:webHidden/>
          </w:rPr>
          <w:t>26</w:t>
        </w:r>
        <w:r w:rsidR="00365107">
          <w:rPr>
            <w:noProof/>
            <w:webHidden/>
          </w:rPr>
          <w:fldChar w:fldCharType="end"/>
        </w:r>
      </w:hyperlink>
    </w:p>
    <w:p w14:paraId="4154203B" w14:textId="298A52B9" w:rsidR="00365107" w:rsidRDefault="00D23991">
      <w:pPr>
        <w:pStyle w:val="TOC2"/>
        <w:tabs>
          <w:tab w:val="left" w:pos="1100"/>
        </w:tabs>
        <w:rPr>
          <w:rFonts w:eastAsiaTheme="minorEastAsia" w:cstheme="minorBidi"/>
          <w:noProof/>
          <w:color w:val="auto"/>
          <w:szCs w:val="22"/>
        </w:rPr>
      </w:pPr>
      <w:hyperlink w:anchor="_Toc27652706" w:history="1">
        <w:r w:rsidR="00365107" w:rsidRPr="006A2879">
          <w:rPr>
            <w:rStyle w:val="Hyperlink"/>
            <w:noProof/>
          </w:rPr>
          <w:t>5.1</w:t>
        </w:r>
        <w:r w:rsidR="00365107">
          <w:rPr>
            <w:rFonts w:eastAsiaTheme="minorEastAsia" w:cstheme="minorBidi"/>
            <w:noProof/>
            <w:color w:val="auto"/>
            <w:szCs w:val="22"/>
          </w:rPr>
          <w:tab/>
        </w:r>
        <w:r w:rsidR="00365107" w:rsidRPr="006A2879">
          <w:rPr>
            <w:rStyle w:val="Hyperlink"/>
            <w:noProof/>
          </w:rPr>
          <w:t>Board members</w:t>
        </w:r>
        <w:r w:rsidR="00365107">
          <w:rPr>
            <w:noProof/>
            <w:webHidden/>
          </w:rPr>
          <w:tab/>
        </w:r>
        <w:r w:rsidR="00365107">
          <w:rPr>
            <w:noProof/>
            <w:webHidden/>
          </w:rPr>
          <w:fldChar w:fldCharType="begin"/>
        </w:r>
        <w:r w:rsidR="00365107">
          <w:rPr>
            <w:noProof/>
            <w:webHidden/>
          </w:rPr>
          <w:instrText xml:space="preserve"> PAGEREF _Toc27652706 \h </w:instrText>
        </w:r>
        <w:r w:rsidR="00365107">
          <w:rPr>
            <w:noProof/>
            <w:webHidden/>
          </w:rPr>
        </w:r>
        <w:r w:rsidR="00365107">
          <w:rPr>
            <w:noProof/>
            <w:webHidden/>
          </w:rPr>
          <w:fldChar w:fldCharType="separate"/>
        </w:r>
        <w:r w:rsidR="008E047F">
          <w:rPr>
            <w:noProof/>
            <w:webHidden/>
          </w:rPr>
          <w:t>26</w:t>
        </w:r>
        <w:r w:rsidR="00365107">
          <w:rPr>
            <w:noProof/>
            <w:webHidden/>
          </w:rPr>
          <w:fldChar w:fldCharType="end"/>
        </w:r>
      </w:hyperlink>
    </w:p>
    <w:p w14:paraId="5365565E" w14:textId="68C26707" w:rsidR="00365107" w:rsidRDefault="00D23991">
      <w:pPr>
        <w:pStyle w:val="TOC2"/>
        <w:tabs>
          <w:tab w:val="left" w:pos="1100"/>
        </w:tabs>
        <w:rPr>
          <w:rFonts w:eastAsiaTheme="minorEastAsia" w:cstheme="minorBidi"/>
          <w:noProof/>
          <w:color w:val="auto"/>
          <w:szCs w:val="22"/>
        </w:rPr>
      </w:pPr>
      <w:hyperlink w:anchor="_Toc27652707" w:history="1">
        <w:r w:rsidR="00365107" w:rsidRPr="006A2879">
          <w:rPr>
            <w:rStyle w:val="Hyperlink"/>
            <w:noProof/>
          </w:rPr>
          <w:t>5.2</w:t>
        </w:r>
        <w:r w:rsidR="00365107">
          <w:rPr>
            <w:rFonts w:eastAsiaTheme="minorEastAsia" w:cstheme="minorBidi"/>
            <w:noProof/>
            <w:color w:val="auto"/>
            <w:szCs w:val="22"/>
          </w:rPr>
          <w:tab/>
        </w:r>
        <w:r w:rsidR="00365107" w:rsidRPr="006A2879">
          <w:rPr>
            <w:rStyle w:val="Hyperlink"/>
            <w:noProof/>
          </w:rPr>
          <w:t>Terms of Board members</w:t>
        </w:r>
        <w:r w:rsidR="00365107">
          <w:rPr>
            <w:noProof/>
            <w:webHidden/>
          </w:rPr>
          <w:tab/>
        </w:r>
        <w:r w:rsidR="00365107">
          <w:rPr>
            <w:noProof/>
            <w:webHidden/>
          </w:rPr>
          <w:fldChar w:fldCharType="begin"/>
        </w:r>
        <w:r w:rsidR="00365107">
          <w:rPr>
            <w:noProof/>
            <w:webHidden/>
          </w:rPr>
          <w:instrText xml:space="preserve"> PAGEREF _Toc27652707 \h </w:instrText>
        </w:r>
        <w:r w:rsidR="00365107">
          <w:rPr>
            <w:noProof/>
            <w:webHidden/>
          </w:rPr>
        </w:r>
        <w:r w:rsidR="00365107">
          <w:rPr>
            <w:noProof/>
            <w:webHidden/>
          </w:rPr>
          <w:fldChar w:fldCharType="separate"/>
        </w:r>
        <w:r w:rsidR="008E047F">
          <w:rPr>
            <w:noProof/>
            <w:webHidden/>
          </w:rPr>
          <w:t>31</w:t>
        </w:r>
        <w:r w:rsidR="00365107">
          <w:rPr>
            <w:noProof/>
            <w:webHidden/>
          </w:rPr>
          <w:fldChar w:fldCharType="end"/>
        </w:r>
      </w:hyperlink>
    </w:p>
    <w:p w14:paraId="71AF334E" w14:textId="24A86CD6" w:rsidR="00365107" w:rsidRDefault="00D23991">
      <w:pPr>
        <w:pStyle w:val="TOC1"/>
        <w:tabs>
          <w:tab w:val="left" w:pos="567"/>
        </w:tabs>
        <w:rPr>
          <w:rFonts w:eastAsiaTheme="minorEastAsia" w:cstheme="minorBidi"/>
          <w:b w:val="0"/>
          <w:smallCaps w:val="0"/>
          <w:noProof/>
          <w:color w:val="auto"/>
          <w:sz w:val="22"/>
        </w:rPr>
      </w:pPr>
      <w:hyperlink w:anchor="_Toc27652708" w:history="1">
        <w:r w:rsidR="00365107" w:rsidRPr="006A2879">
          <w:rPr>
            <w:rStyle w:val="Hyperlink"/>
            <w:noProof/>
          </w:rPr>
          <w:t>6</w:t>
        </w:r>
        <w:r w:rsidR="00365107">
          <w:rPr>
            <w:rFonts w:eastAsiaTheme="minorEastAsia" w:cstheme="minorBidi"/>
            <w:b w:val="0"/>
            <w:smallCaps w:val="0"/>
            <w:noProof/>
            <w:color w:val="auto"/>
            <w:sz w:val="22"/>
          </w:rPr>
          <w:tab/>
        </w:r>
        <w:r w:rsidR="00365107" w:rsidRPr="006A2879">
          <w:rPr>
            <w:rStyle w:val="Hyperlink"/>
            <w:noProof/>
          </w:rPr>
          <w:t>Appendix C: Board Working Groups and Private Sector Secondments</w:t>
        </w:r>
        <w:r w:rsidR="00365107">
          <w:rPr>
            <w:noProof/>
            <w:webHidden/>
          </w:rPr>
          <w:tab/>
        </w:r>
        <w:r w:rsidR="00365107">
          <w:rPr>
            <w:noProof/>
            <w:webHidden/>
          </w:rPr>
          <w:fldChar w:fldCharType="begin"/>
        </w:r>
        <w:r w:rsidR="00365107">
          <w:rPr>
            <w:noProof/>
            <w:webHidden/>
          </w:rPr>
          <w:instrText xml:space="preserve"> PAGEREF _Toc27652708 \h </w:instrText>
        </w:r>
        <w:r w:rsidR="00365107">
          <w:rPr>
            <w:noProof/>
            <w:webHidden/>
          </w:rPr>
        </w:r>
        <w:r w:rsidR="00365107">
          <w:rPr>
            <w:noProof/>
            <w:webHidden/>
          </w:rPr>
          <w:fldChar w:fldCharType="separate"/>
        </w:r>
        <w:r w:rsidR="008E047F">
          <w:rPr>
            <w:noProof/>
            <w:webHidden/>
          </w:rPr>
          <w:t>32</w:t>
        </w:r>
        <w:r w:rsidR="00365107">
          <w:rPr>
            <w:noProof/>
            <w:webHidden/>
          </w:rPr>
          <w:fldChar w:fldCharType="end"/>
        </w:r>
      </w:hyperlink>
    </w:p>
    <w:p w14:paraId="69502B66" w14:textId="5732E91D" w:rsidR="00365107" w:rsidRDefault="00D23991">
      <w:pPr>
        <w:pStyle w:val="TOC1"/>
        <w:tabs>
          <w:tab w:val="left" w:pos="567"/>
        </w:tabs>
        <w:rPr>
          <w:rFonts w:eastAsiaTheme="minorEastAsia" w:cstheme="minorBidi"/>
          <w:b w:val="0"/>
          <w:smallCaps w:val="0"/>
          <w:noProof/>
          <w:color w:val="auto"/>
          <w:sz w:val="22"/>
        </w:rPr>
      </w:pPr>
      <w:hyperlink w:anchor="_Toc27652709" w:history="1">
        <w:r w:rsidR="00365107" w:rsidRPr="006A2879">
          <w:rPr>
            <w:rStyle w:val="Hyperlink"/>
            <w:noProof/>
          </w:rPr>
          <w:t>7</w:t>
        </w:r>
        <w:r w:rsidR="00365107">
          <w:rPr>
            <w:rFonts w:eastAsiaTheme="minorEastAsia" w:cstheme="minorBidi"/>
            <w:b w:val="0"/>
            <w:smallCaps w:val="0"/>
            <w:noProof/>
            <w:color w:val="auto"/>
            <w:sz w:val="22"/>
          </w:rPr>
          <w:tab/>
        </w:r>
        <w:r w:rsidR="00365107" w:rsidRPr="006A2879">
          <w:rPr>
            <w:rStyle w:val="Hyperlink"/>
            <w:noProof/>
          </w:rPr>
          <w:t>Appendix D: Attendance at events, conferences, workshops and discussion groups</w:t>
        </w:r>
        <w:r w:rsidR="00365107">
          <w:rPr>
            <w:noProof/>
            <w:webHidden/>
          </w:rPr>
          <w:tab/>
        </w:r>
        <w:r w:rsidR="00365107">
          <w:rPr>
            <w:noProof/>
            <w:webHidden/>
          </w:rPr>
          <w:fldChar w:fldCharType="begin"/>
        </w:r>
        <w:r w:rsidR="00365107">
          <w:rPr>
            <w:noProof/>
            <w:webHidden/>
          </w:rPr>
          <w:instrText xml:space="preserve"> PAGEREF _Toc27652709 \h </w:instrText>
        </w:r>
        <w:r w:rsidR="00365107">
          <w:rPr>
            <w:noProof/>
            <w:webHidden/>
          </w:rPr>
        </w:r>
        <w:r w:rsidR="00365107">
          <w:rPr>
            <w:noProof/>
            <w:webHidden/>
          </w:rPr>
          <w:fldChar w:fldCharType="separate"/>
        </w:r>
        <w:r w:rsidR="008E047F">
          <w:rPr>
            <w:noProof/>
            <w:webHidden/>
          </w:rPr>
          <w:t>34</w:t>
        </w:r>
        <w:r w:rsidR="00365107">
          <w:rPr>
            <w:noProof/>
            <w:webHidden/>
          </w:rPr>
          <w:fldChar w:fldCharType="end"/>
        </w:r>
      </w:hyperlink>
    </w:p>
    <w:p w14:paraId="439DCFD5" w14:textId="62D84321" w:rsidR="00365107" w:rsidRDefault="00D23991">
      <w:pPr>
        <w:pStyle w:val="TOC1"/>
        <w:tabs>
          <w:tab w:val="left" w:pos="567"/>
        </w:tabs>
        <w:rPr>
          <w:rFonts w:eastAsiaTheme="minorEastAsia" w:cstheme="minorBidi"/>
          <w:b w:val="0"/>
          <w:smallCaps w:val="0"/>
          <w:noProof/>
          <w:color w:val="auto"/>
          <w:sz w:val="22"/>
        </w:rPr>
      </w:pPr>
      <w:hyperlink w:anchor="_Toc27652710" w:history="1">
        <w:r w:rsidR="00365107" w:rsidRPr="006A2879">
          <w:rPr>
            <w:rStyle w:val="Hyperlink"/>
            <w:noProof/>
          </w:rPr>
          <w:t>8</w:t>
        </w:r>
        <w:r w:rsidR="00365107">
          <w:rPr>
            <w:rFonts w:eastAsiaTheme="minorEastAsia" w:cstheme="minorBidi"/>
            <w:b w:val="0"/>
            <w:smallCaps w:val="0"/>
            <w:noProof/>
            <w:color w:val="auto"/>
            <w:sz w:val="22"/>
          </w:rPr>
          <w:tab/>
        </w:r>
        <w:r w:rsidR="00365107" w:rsidRPr="006A2879">
          <w:rPr>
            <w:rStyle w:val="Hyperlink"/>
            <w:noProof/>
          </w:rPr>
          <w:t>Appendix E: attendance at board meetings</w:t>
        </w:r>
        <w:r w:rsidR="00365107">
          <w:rPr>
            <w:noProof/>
            <w:webHidden/>
          </w:rPr>
          <w:tab/>
        </w:r>
        <w:r w:rsidR="00365107">
          <w:rPr>
            <w:noProof/>
            <w:webHidden/>
          </w:rPr>
          <w:fldChar w:fldCharType="begin"/>
        </w:r>
        <w:r w:rsidR="00365107">
          <w:rPr>
            <w:noProof/>
            <w:webHidden/>
          </w:rPr>
          <w:instrText xml:space="preserve"> PAGEREF _Toc27652710 \h </w:instrText>
        </w:r>
        <w:r w:rsidR="00365107">
          <w:rPr>
            <w:noProof/>
            <w:webHidden/>
          </w:rPr>
        </w:r>
        <w:r w:rsidR="00365107">
          <w:rPr>
            <w:noProof/>
            <w:webHidden/>
          </w:rPr>
          <w:fldChar w:fldCharType="separate"/>
        </w:r>
        <w:r w:rsidR="008E047F">
          <w:rPr>
            <w:noProof/>
            <w:webHidden/>
          </w:rPr>
          <w:t>35</w:t>
        </w:r>
        <w:r w:rsidR="00365107">
          <w:rPr>
            <w:noProof/>
            <w:webHidden/>
          </w:rPr>
          <w:fldChar w:fldCharType="end"/>
        </w:r>
      </w:hyperlink>
    </w:p>
    <w:p w14:paraId="183AE7D0" w14:textId="5AEB83F0" w:rsidR="00365107" w:rsidRDefault="00D23991">
      <w:pPr>
        <w:pStyle w:val="TOC1"/>
        <w:tabs>
          <w:tab w:val="left" w:pos="567"/>
        </w:tabs>
        <w:rPr>
          <w:rFonts w:eastAsiaTheme="minorEastAsia" w:cstheme="minorBidi"/>
          <w:b w:val="0"/>
          <w:smallCaps w:val="0"/>
          <w:noProof/>
          <w:color w:val="auto"/>
          <w:sz w:val="22"/>
        </w:rPr>
      </w:pPr>
      <w:hyperlink w:anchor="_Toc27652711" w:history="1">
        <w:r w:rsidR="00365107" w:rsidRPr="006A2879">
          <w:rPr>
            <w:rStyle w:val="Hyperlink"/>
            <w:noProof/>
          </w:rPr>
          <w:t>9</w:t>
        </w:r>
        <w:r w:rsidR="00365107">
          <w:rPr>
            <w:rFonts w:eastAsiaTheme="minorEastAsia" w:cstheme="minorBidi"/>
            <w:b w:val="0"/>
            <w:smallCaps w:val="0"/>
            <w:noProof/>
            <w:color w:val="auto"/>
            <w:sz w:val="22"/>
          </w:rPr>
          <w:tab/>
        </w:r>
        <w:r w:rsidR="00365107" w:rsidRPr="006A2879">
          <w:rPr>
            <w:rStyle w:val="Hyperlink"/>
            <w:noProof/>
          </w:rPr>
          <w:t>Appendix F: Members of the Board’s Advisory Panel</w:t>
        </w:r>
        <w:r w:rsidR="00365107">
          <w:rPr>
            <w:noProof/>
            <w:webHidden/>
          </w:rPr>
          <w:tab/>
        </w:r>
        <w:r w:rsidR="00365107">
          <w:rPr>
            <w:noProof/>
            <w:webHidden/>
          </w:rPr>
          <w:fldChar w:fldCharType="begin"/>
        </w:r>
        <w:r w:rsidR="00365107">
          <w:rPr>
            <w:noProof/>
            <w:webHidden/>
          </w:rPr>
          <w:instrText xml:space="preserve"> PAGEREF _Toc27652711 \h </w:instrText>
        </w:r>
        <w:r w:rsidR="00365107">
          <w:rPr>
            <w:noProof/>
            <w:webHidden/>
          </w:rPr>
        </w:r>
        <w:r w:rsidR="00365107">
          <w:rPr>
            <w:noProof/>
            <w:webHidden/>
          </w:rPr>
          <w:fldChar w:fldCharType="separate"/>
        </w:r>
        <w:r w:rsidR="008E047F">
          <w:rPr>
            <w:noProof/>
            <w:webHidden/>
          </w:rPr>
          <w:t>36</w:t>
        </w:r>
        <w:r w:rsidR="00365107">
          <w:rPr>
            <w:noProof/>
            <w:webHidden/>
          </w:rPr>
          <w:fldChar w:fldCharType="end"/>
        </w:r>
      </w:hyperlink>
    </w:p>
    <w:p w14:paraId="26DBCA57" w14:textId="3F27EFE6" w:rsidR="00365107" w:rsidRDefault="00D23991">
      <w:pPr>
        <w:pStyle w:val="TOC1"/>
        <w:tabs>
          <w:tab w:val="left" w:pos="567"/>
        </w:tabs>
        <w:rPr>
          <w:rFonts w:eastAsiaTheme="minorEastAsia" w:cstheme="minorBidi"/>
          <w:b w:val="0"/>
          <w:smallCaps w:val="0"/>
          <w:noProof/>
          <w:color w:val="auto"/>
          <w:sz w:val="22"/>
        </w:rPr>
      </w:pPr>
      <w:hyperlink w:anchor="_Toc27652712" w:history="1">
        <w:r w:rsidR="00365107" w:rsidRPr="006A2879">
          <w:rPr>
            <w:rStyle w:val="Hyperlink"/>
            <w:noProof/>
          </w:rPr>
          <w:t>10</w:t>
        </w:r>
        <w:r w:rsidR="00365107">
          <w:rPr>
            <w:rFonts w:eastAsiaTheme="minorEastAsia" w:cstheme="minorBidi"/>
            <w:b w:val="0"/>
            <w:smallCaps w:val="0"/>
            <w:noProof/>
            <w:color w:val="auto"/>
            <w:sz w:val="22"/>
          </w:rPr>
          <w:tab/>
        </w:r>
        <w:r w:rsidR="00365107" w:rsidRPr="006A2879">
          <w:rPr>
            <w:rStyle w:val="Hyperlink"/>
            <w:noProof/>
          </w:rPr>
          <w:t>Appendix G: Consultancies</w:t>
        </w:r>
        <w:r w:rsidR="00365107">
          <w:rPr>
            <w:noProof/>
            <w:webHidden/>
          </w:rPr>
          <w:tab/>
        </w:r>
        <w:r w:rsidR="00365107">
          <w:rPr>
            <w:noProof/>
            <w:webHidden/>
          </w:rPr>
          <w:fldChar w:fldCharType="begin"/>
        </w:r>
        <w:r w:rsidR="00365107">
          <w:rPr>
            <w:noProof/>
            <w:webHidden/>
          </w:rPr>
          <w:instrText xml:space="preserve"> PAGEREF _Toc27652712 \h </w:instrText>
        </w:r>
        <w:r w:rsidR="00365107">
          <w:rPr>
            <w:noProof/>
            <w:webHidden/>
          </w:rPr>
        </w:r>
        <w:r w:rsidR="00365107">
          <w:rPr>
            <w:noProof/>
            <w:webHidden/>
          </w:rPr>
          <w:fldChar w:fldCharType="separate"/>
        </w:r>
        <w:r w:rsidR="008E047F">
          <w:rPr>
            <w:noProof/>
            <w:webHidden/>
          </w:rPr>
          <w:t>38</w:t>
        </w:r>
        <w:r w:rsidR="00365107">
          <w:rPr>
            <w:noProof/>
            <w:webHidden/>
          </w:rPr>
          <w:fldChar w:fldCharType="end"/>
        </w:r>
      </w:hyperlink>
    </w:p>
    <w:p w14:paraId="58EE32C9" w14:textId="636250E6" w:rsidR="00365107" w:rsidRDefault="00D23991">
      <w:pPr>
        <w:pStyle w:val="TOC1"/>
        <w:tabs>
          <w:tab w:val="left" w:pos="567"/>
        </w:tabs>
        <w:rPr>
          <w:rFonts w:eastAsiaTheme="minorEastAsia" w:cstheme="minorBidi"/>
          <w:b w:val="0"/>
          <w:smallCaps w:val="0"/>
          <w:noProof/>
          <w:color w:val="auto"/>
          <w:sz w:val="22"/>
        </w:rPr>
      </w:pPr>
      <w:hyperlink w:anchor="_Toc27652713" w:history="1">
        <w:r w:rsidR="00365107" w:rsidRPr="006A2879">
          <w:rPr>
            <w:rStyle w:val="Hyperlink"/>
            <w:noProof/>
          </w:rPr>
          <w:t>11</w:t>
        </w:r>
        <w:r w:rsidR="00365107">
          <w:rPr>
            <w:rFonts w:eastAsiaTheme="minorEastAsia" w:cstheme="minorBidi"/>
            <w:b w:val="0"/>
            <w:smallCaps w:val="0"/>
            <w:noProof/>
            <w:color w:val="auto"/>
            <w:sz w:val="22"/>
          </w:rPr>
          <w:tab/>
        </w:r>
        <w:r w:rsidR="00365107" w:rsidRPr="006A2879">
          <w:rPr>
            <w:rStyle w:val="Hyperlink"/>
            <w:noProof/>
          </w:rPr>
          <w:t>Appendix H: Financial Statements</w:t>
        </w:r>
        <w:r w:rsidR="00365107">
          <w:rPr>
            <w:noProof/>
            <w:webHidden/>
          </w:rPr>
          <w:tab/>
        </w:r>
        <w:r w:rsidR="00365107">
          <w:rPr>
            <w:noProof/>
            <w:webHidden/>
          </w:rPr>
          <w:fldChar w:fldCharType="begin"/>
        </w:r>
        <w:r w:rsidR="00365107">
          <w:rPr>
            <w:noProof/>
            <w:webHidden/>
          </w:rPr>
          <w:instrText xml:space="preserve"> PAGEREF _Toc27652713 \h </w:instrText>
        </w:r>
        <w:r w:rsidR="00365107">
          <w:rPr>
            <w:noProof/>
            <w:webHidden/>
          </w:rPr>
        </w:r>
        <w:r w:rsidR="00365107">
          <w:rPr>
            <w:noProof/>
            <w:webHidden/>
          </w:rPr>
          <w:fldChar w:fldCharType="separate"/>
        </w:r>
        <w:r w:rsidR="008E047F">
          <w:rPr>
            <w:noProof/>
            <w:webHidden/>
          </w:rPr>
          <w:t>39</w:t>
        </w:r>
        <w:r w:rsidR="00365107">
          <w:rPr>
            <w:noProof/>
            <w:webHidden/>
          </w:rPr>
          <w:fldChar w:fldCharType="end"/>
        </w:r>
      </w:hyperlink>
    </w:p>
    <w:p w14:paraId="4653F331" w14:textId="0FC7D17F" w:rsidR="00ED7355" w:rsidRDefault="001911F5" w:rsidP="00ED7355">
      <w:r>
        <w:rPr>
          <w:b/>
          <w:smallCaps/>
          <w:color w:val="000080"/>
          <w:sz w:val="24"/>
        </w:rPr>
        <w:fldChar w:fldCharType="end"/>
      </w:r>
    </w:p>
    <w:p w14:paraId="1DA571C0" w14:textId="77777777" w:rsidR="00ED7355" w:rsidRDefault="00ED7355" w:rsidP="00FB6E9C">
      <w:pPr>
        <w:pStyle w:val="ContentsHeading"/>
      </w:pPr>
      <w:r>
        <w:t>List of tables</w:t>
      </w:r>
    </w:p>
    <w:p w14:paraId="176A7485" w14:textId="352ABFC4" w:rsidR="00365107" w:rsidRDefault="001911F5">
      <w:pPr>
        <w:pStyle w:val="TOC4"/>
        <w:rPr>
          <w:rFonts w:eastAsiaTheme="minorEastAsia" w:cstheme="minorBidi"/>
          <w:noProof/>
          <w:color w:val="auto"/>
        </w:rPr>
      </w:pPr>
      <w:r>
        <w:fldChar w:fldCharType="begin"/>
      </w:r>
      <w:r>
        <w:instrText xml:space="preserve"> TOC \h \z \t "Table Main Heading,4" </w:instrText>
      </w:r>
      <w:r>
        <w:fldChar w:fldCharType="separate"/>
      </w:r>
      <w:hyperlink w:anchor="_Toc27652714" w:history="1">
        <w:r w:rsidR="00365107" w:rsidRPr="002C6E05">
          <w:rPr>
            <w:rStyle w:val="Hyperlink"/>
            <w:noProof/>
          </w:rPr>
          <w:t>Table 1: Board meetings, 2018</w:t>
        </w:r>
        <w:r w:rsidR="00365107" w:rsidRPr="002C6E05">
          <w:rPr>
            <w:rStyle w:val="Hyperlink"/>
            <w:noProof/>
          </w:rPr>
          <w:noBreakHyphen/>
          <w:t>19</w:t>
        </w:r>
        <w:r w:rsidR="00365107">
          <w:rPr>
            <w:noProof/>
            <w:webHidden/>
          </w:rPr>
          <w:tab/>
        </w:r>
        <w:r w:rsidR="00365107">
          <w:rPr>
            <w:noProof/>
            <w:webHidden/>
          </w:rPr>
          <w:fldChar w:fldCharType="begin"/>
        </w:r>
        <w:r w:rsidR="00365107">
          <w:rPr>
            <w:noProof/>
            <w:webHidden/>
          </w:rPr>
          <w:instrText xml:space="preserve"> PAGEREF _Toc27652714 \h </w:instrText>
        </w:r>
        <w:r w:rsidR="00365107">
          <w:rPr>
            <w:noProof/>
            <w:webHidden/>
          </w:rPr>
        </w:r>
        <w:r w:rsidR="00365107">
          <w:rPr>
            <w:noProof/>
            <w:webHidden/>
          </w:rPr>
          <w:fldChar w:fldCharType="separate"/>
        </w:r>
        <w:r w:rsidR="008E047F">
          <w:rPr>
            <w:noProof/>
            <w:webHidden/>
          </w:rPr>
          <w:t>20</w:t>
        </w:r>
        <w:r w:rsidR="00365107">
          <w:rPr>
            <w:noProof/>
            <w:webHidden/>
          </w:rPr>
          <w:fldChar w:fldCharType="end"/>
        </w:r>
      </w:hyperlink>
    </w:p>
    <w:p w14:paraId="6A04D2FB" w14:textId="0D375A9E" w:rsidR="00365107" w:rsidRDefault="00D23991">
      <w:pPr>
        <w:pStyle w:val="TOC4"/>
        <w:rPr>
          <w:rFonts w:eastAsiaTheme="minorEastAsia" w:cstheme="minorBidi"/>
          <w:noProof/>
          <w:color w:val="auto"/>
        </w:rPr>
      </w:pPr>
      <w:hyperlink w:anchor="_Toc27652715" w:history="1">
        <w:r w:rsidR="00365107" w:rsidRPr="002C6E05">
          <w:rPr>
            <w:rStyle w:val="Hyperlink"/>
            <w:noProof/>
          </w:rPr>
          <w:t>Table 2: Term of Board members</w:t>
        </w:r>
        <w:r w:rsidR="00365107">
          <w:rPr>
            <w:noProof/>
            <w:webHidden/>
          </w:rPr>
          <w:tab/>
        </w:r>
        <w:r w:rsidR="00365107">
          <w:rPr>
            <w:noProof/>
            <w:webHidden/>
          </w:rPr>
          <w:fldChar w:fldCharType="begin"/>
        </w:r>
        <w:r w:rsidR="00365107">
          <w:rPr>
            <w:noProof/>
            <w:webHidden/>
          </w:rPr>
          <w:instrText xml:space="preserve"> PAGEREF _Toc27652715 \h </w:instrText>
        </w:r>
        <w:r w:rsidR="00365107">
          <w:rPr>
            <w:noProof/>
            <w:webHidden/>
          </w:rPr>
        </w:r>
        <w:r w:rsidR="00365107">
          <w:rPr>
            <w:noProof/>
            <w:webHidden/>
          </w:rPr>
          <w:fldChar w:fldCharType="separate"/>
        </w:r>
        <w:r w:rsidR="008E047F">
          <w:rPr>
            <w:noProof/>
            <w:webHidden/>
          </w:rPr>
          <w:t>31</w:t>
        </w:r>
        <w:r w:rsidR="00365107">
          <w:rPr>
            <w:noProof/>
            <w:webHidden/>
          </w:rPr>
          <w:fldChar w:fldCharType="end"/>
        </w:r>
      </w:hyperlink>
    </w:p>
    <w:p w14:paraId="561ECEA9" w14:textId="443ECE02" w:rsidR="00365107" w:rsidRDefault="00D23991">
      <w:pPr>
        <w:pStyle w:val="TOC4"/>
        <w:rPr>
          <w:rFonts w:eastAsiaTheme="minorEastAsia" w:cstheme="minorBidi"/>
          <w:noProof/>
          <w:color w:val="auto"/>
        </w:rPr>
      </w:pPr>
      <w:hyperlink w:anchor="_Toc27652716" w:history="1">
        <w:r w:rsidR="00365107" w:rsidRPr="002C6E05">
          <w:rPr>
            <w:rStyle w:val="Hyperlink"/>
            <w:noProof/>
          </w:rPr>
          <w:t>Table 3: Membership of Board Working Groups, 2018</w:t>
        </w:r>
        <w:r w:rsidR="00365107" w:rsidRPr="002C6E05">
          <w:rPr>
            <w:rStyle w:val="Hyperlink"/>
            <w:noProof/>
          </w:rPr>
          <w:noBreakHyphen/>
          <w:t>19</w:t>
        </w:r>
        <w:r w:rsidR="00365107">
          <w:rPr>
            <w:noProof/>
            <w:webHidden/>
          </w:rPr>
          <w:tab/>
        </w:r>
        <w:r w:rsidR="00365107">
          <w:rPr>
            <w:noProof/>
            <w:webHidden/>
          </w:rPr>
          <w:fldChar w:fldCharType="begin"/>
        </w:r>
        <w:r w:rsidR="00365107">
          <w:rPr>
            <w:noProof/>
            <w:webHidden/>
          </w:rPr>
          <w:instrText xml:space="preserve"> PAGEREF _Toc27652716 \h </w:instrText>
        </w:r>
        <w:r w:rsidR="00365107">
          <w:rPr>
            <w:noProof/>
            <w:webHidden/>
          </w:rPr>
        </w:r>
        <w:r w:rsidR="00365107">
          <w:rPr>
            <w:noProof/>
            <w:webHidden/>
          </w:rPr>
          <w:fldChar w:fldCharType="separate"/>
        </w:r>
        <w:r w:rsidR="008E047F">
          <w:rPr>
            <w:noProof/>
            <w:webHidden/>
          </w:rPr>
          <w:t>32</w:t>
        </w:r>
        <w:r w:rsidR="00365107">
          <w:rPr>
            <w:noProof/>
            <w:webHidden/>
          </w:rPr>
          <w:fldChar w:fldCharType="end"/>
        </w:r>
      </w:hyperlink>
    </w:p>
    <w:p w14:paraId="76EAFD50" w14:textId="0923CAA5" w:rsidR="00365107" w:rsidRDefault="00D23991">
      <w:pPr>
        <w:pStyle w:val="TOC4"/>
        <w:rPr>
          <w:rFonts w:eastAsiaTheme="minorEastAsia" w:cstheme="minorBidi"/>
          <w:noProof/>
          <w:color w:val="auto"/>
        </w:rPr>
      </w:pPr>
      <w:hyperlink w:anchor="_Toc27652717" w:history="1">
        <w:r w:rsidR="00365107" w:rsidRPr="002C6E05">
          <w:rPr>
            <w:rStyle w:val="Hyperlink"/>
            <w:noProof/>
          </w:rPr>
          <w:t>Table 5: External events attended by Board members</w:t>
        </w:r>
        <w:r w:rsidR="00365107">
          <w:rPr>
            <w:noProof/>
            <w:webHidden/>
          </w:rPr>
          <w:tab/>
        </w:r>
        <w:r w:rsidR="00365107">
          <w:rPr>
            <w:noProof/>
            <w:webHidden/>
          </w:rPr>
          <w:fldChar w:fldCharType="begin"/>
        </w:r>
        <w:r w:rsidR="00365107">
          <w:rPr>
            <w:noProof/>
            <w:webHidden/>
          </w:rPr>
          <w:instrText xml:space="preserve"> PAGEREF _Toc27652717 \h </w:instrText>
        </w:r>
        <w:r w:rsidR="00365107">
          <w:rPr>
            <w:noProof/>
            <w:webHidden/>
          </w:rPr>
        </w:r>
        <w:r w:rsidR="00365107">
          <w:rPr>
            <w:noProof/>
            <w:webHidden/>
          </w:rPr>
          <w:fldChar w:fldCharType="separate"/>
        </w:r>
        <w:r w:rsidR="008E047F">
          <w:rPr>
            <w:noProof/>
            <w:webHidden/>
          </w:rPr>
          <w:t>34</w:t>
        </w:r>
        <w:r w:rsidR="00365107">
          <w:rPr>
            <w:noProof/>
            <w:webHidden/>
          </w:rPr>
          <w:fldChar w:fldCharType="end"/>
        </w:r>
      </w:hyperlink>
    </w:p>
    <w:p w14:paraId="3004D0B0" w14:textId="52D4A7ED" w:rsidR="00365107" w:rsidRDefault="00D23991">
      <w:pPr>
        <w:pStyle w:val="TOC4"/>
        <w:rPr>
          <w:rFonts w:eastAsiaTheme="minorEastAsia" w:cstheme="minorBidi"/>
          <w:noProof/>
          <w:color w:val="auto"/>
        </w:rPr>
      </w:pPr>
      <w:hyperlink w:anchor="_Toc27652718" w:history="1">
        <w:r w:rsidR="00365107" w:rsidRPr="002C6E05">
          <w:rPr>
            <w:rStyle w:val="Hyperlink"/>
            <w:noProof/>
          </w:rPr>
          <w:t>Table 6: Attendance at Board meetings, 2018</w:t>
        </w:r>
        <w:r w:rsidR="00365107" w:rsidRPr="002C6E05">
          <w:rPr>
            <w:rStyle w:val="Hyperlink"/>
            <w:noProof/>
          </w:rPr>
          <w:noBreakHyphen/>
          <w:t>19</w:t>
        </w:r>
        <w:r w:rsidR="00365107">
          <w:rPr>
            <w:noProof/>
            <w:webHidden/>
          </w:rPr>
          <w:tab/>
        </w:r>
        <w:r w:rsidR="00365107">
          <w:rPr>
            <w:noProof/>
            <w:webHidden/>
          </w:rPr>
          <w:fldChar w:fldCharType="begin"/>
        </w:r>
        <w:r w:rsidR="00365107">
          <w:rPr>
            <w:noProof/>
            <w:webHidden/>
          </w:rPr>
          <w:instrText xml:space="preserve"> PAGEREF _Toc27652718 \h </w:instrText>
        </w:r>
        <w:r w:rsidR="00365107">
          <w:rPr>
            <w:noProof/>
            <w:webHidden/>
          </w:rPr>
        </w:r>
        <w:r w:rsidR="00365107">
          <w:rPr>
            <w:noProof/>
            <w:webHidden/>
          </w:rPr>
          <w:fldChar w:fldCharType="separate"/>
        </w:r>
        <w:r w:rsidR="008E047F">
          <w:rPr>
            <w:noProof/>
            <w:webHidden/>
          </w:rPr>
          <w:t>35</w:t>
        </w:r>
        <w:r w:rsidR="00365107">
          <w:rPr>
            <w:noProof/>
            <w:webHidden/>
          </w:rPr>
          <w:fldChar w:fldCharType="end"/>
        </w:r>
      </w:hyperlink>
    </w:p>
    <w:p w14:paraId="43C6B5B2" w14:textId="4A42F753" w:rsidR="00365107" w:rsidRDefault="00D23991">
      <w:pPr>
        <w:pStyle w:val="TOC4"/>
        <w:rPr>
          <w:rFonts w:eastAsiaTheme="minorEastAsia" w:cstheme="minorBidi"/>
          <w:noProof/>
          <w:color w:val="auto"/>
        </w:rPr>
      </w:pPr>
      <w:hyperlink w:anchor="_Toc27652719" w:history="1">
        <w:r w:rsidR="00365107" w:rsidRPr="002C6E05">
          <w:rPr>
            <w:rStyle w:val="Hyperlink"/>
            <w:noProof/>
          </w:rPr>
          <w:t>Table 7: Members of Advisory Panel as at 30 June 2019</w:t>
        </w:r>
        <w:r w:rsidR="00365107">
          <w:rPr>
            <w:noProof/>
            <w:webHidden/>
          </w:rPr>
          <w:tab/>
        </w:r>
        <w:r w:rsidR="00365107">
          <w:rPr>
            <w:noProof/>
            <w:webHidden/>
          </w:rPr>
          <w:fldChar w:fldCharType="begin"/>
        </w:r>
        <w:r w:rsidR="00365107">
          <w:rPr>
            <w:noProof/>
            <w:webHidden/>
          </w:rPr>
          <w:instrText xml:space="preserve"> PAGEREF _Toc27652719 \h </w:instrText>
        </w:r>
        <w:r w:rsidR="00365107">
          <w:rPr>
            <w:noProof/>
            <w:webHidden/>
          </w:rPr>
        </w:r>
        <w:r w:rsidR="00365107">
          <w:rPr>
            <w:noProof/>
            <w:webHidden/>
          </w:rPr>
          <w:fldChar w:fldCharType="separate"/>
        </w:r>
        <w:r w:rsidR="008E047F">
          <w:rPr>
            <w:noProof/>
            <w:webHidden/>
          </w:rPr>
          <w:t>36</w:t>
        </w:r>
        <w:r w:rsidR="00365107">
          <w:rPr>
            <w:noProof/>
            <w:webHidden/>
          </w:rPr>
          <w:fldChar w:fldCharType="end"/>
        </w:r>
      </w:hyperlink>
    </w:p>
    <w:p w14:paraId="39354BA0" w14:textId="3E383E26" w:rsidR="00365107" w:rsidRDefault="00D23991">
      <w:pPr>
        <w:pStyle w:val="TOC4"/>
        <w:rPr>
          <w:rFonts w:eastAsiaTheme="minorEastAsia" w:cstheme="minorBidi"/>
          <w:noProof/>
          <w:color w:val="auto"/>
        </w:rPr>
      </w:pPr>
      <w:hyperlink w:anchor="_Toc27652720" w:history="1">
        <w:r w:rsidR="00365107" w:rsidRPr="002C6E05">
          <w:rPr>
            <w:rStyle w:val="Hyperlink"/>
            <w:noProof/>
          </w:rPr>
          <w:t>Table 8: Revenue, expenses and operating result</w:t>
        </w:r>
        <w:r w:rsidR="00365107">
          <w:rPr>
            <w:noProof/>
            <w:webHidden/>
          </w:rPr>
          <w:tab/>
        </w:r>
        <w:r w:rsidR="00365107">
          <w:rPr>
            <w:noProof/>
            <w:webHidden/>
          </w:rPr>
          <w:fldChar w:fldCharType="begin"/>
        </w:r>
        <w:r w:rsidR="00365107">
          <w:rPr>
            <w:noProof/>
            <w:webHidden/>
          </w:rPr>
          <w:instrText xml:space="preserve"> PAGEREF _Toc27652720 \h </w:instrText>
        </w:r>
        <w:r w:rsidR="00365107">
          <w:rPr>
            <w:noProof/>
            <w:webHidden/>
          </w:rPr>
        </w:r>
        <w:r w:rsidR="00365107">
          <w:rPr>
            <w:noProof/>
            <w:webHidden/>
          </w:rPr>
          <w:fldChar w:fldCharType="separate"/>
        </w:r>
        <w:r w:rsidR="008E047F">
          <w:rPr>
            <w:noProof/>
            <w:webHidden/>
          </w:rPr>
          <w:t>39</w:t>
        </w:r>
        <w:r w:rsidR="00365107">
          <w:rPr>
            <w:noProof/>
            <w:webHidden/>
          </w:rPr>
          <w:fldChar w:fldCharType="end"/>
        </w:r>
      </w:hyperlink>
    </w:p>
    <w:p w14:paraId="4CA30A6C" w14:textId="54BA69DF" w:rsidR="00365107" w:rsidRDefault="00D23991">
      <w:pPr>
        <w:pStyle w:val="TOC4"/>
        <w:rPr>
          <w:rFonts w:eastAsiaTheme="minorEastAsia" w:cstheme="minorBidi"/>
          <w:noProof/>
          <w:color w:val="auto"/>
        </w:rPr>
      </w:pPr>
      <w:hyperlink w:anchor="_Toc27652721" w:history="1">
        <w:r w:rsidR="00365107" w:rsidRPr="002C6E05">
          <w:rPr>
            <w:rStyle w:val="Hyperlink"/>
            <w:noProof/>
          </w:rPr>
          <w:t>Table 9: Remuneration paid to non</w:t>
        </w:r>
        <w:r w:rsidR="00365107" w:rsidRPr="002C6E05">
          <w:rPr>
            <w:rStyle w:val="Hyperlink"/>
            <w:noProof/>
          </w:rPr>
          <w:noBreakHyphen/>
          <w:t>government Board members, 2018</w:t>
        </w:r>
        <w:r w:rsidR="00365107" w:rsidRPr="002C6E05">
          <w:rPr>
            <w:rStyle w:val="Hyperlink"/>
            <w:noProof/>
          </w:rPr>
          <w:noBreakHyphen/>
          <w:t>19</w:t>
        </w:r>
        <w:r w:rsidR="00365107">
          <w:rPr>
            <w:noProof/>
            <w:webHidden/>
          </w:rPr>
          <w:tab/>
        </w:r>
        <w:r w:rsidR="00365107">
          <w:rPr>
            <w:noProof/>
            <w:webHidden/>
          </w:rPr>
          <w:fldChar w:fldCharType="begin"/>
        </w:r>
        <w:r w:rsidR="00365107">
          <w:rPr>
            <w:noProof/>
            <w:webHidden/>
          </w:rPr>
          <w:instrText xml:space="preserve"> PAGEREF _Toc27652721 \h </w:instrText>
        </w:r>
        <w:r w:rsidR="00365107">
          <w:rPr>
            <w:noProof/>
            <w:webHidden/>
          </w:rPr>
        </w:r>
        <w:r w:rsidR="00365107">
          <w:rPr>
            <w:noProof/>
            <w:webHidden/>
          </w:rPr>
          <w:fldChar w:fldCharType="separate"/>
        </w:r>
        <w:r w:rsidR="008E047F">
          <w:rPr>
            <w:noProof/>
            <w:webHidden/>
          </w:rPr>
          <w:t>39</w:t>
        </w:r>
        <w:r w:rsidR="00365107">
          <w:rPr>
            <w:noProof/>
            <w:webHidden/>
          </w:rPr>
          <w:fldChar w:fldCharType="end"/>
        </w:r>
      </w:hyperlink>
    </w:p>
    <w:p w14:paraId="2DAEE12C" w14:textId="02DA9A9F" w:rsidR="00ED7355" w:rsidRDefault="001911F5" w:rsidP="00ED7355">
      <w:r>
        <w:fldChar w:fldCharType="end"/>
      </w:r>
    </w:p>
    <w:p w14:paraId="29012276" w14:textId="77777777" w:rsidR="002611A8" w:rsidRDefault="002611A8" w:rsidP="00ED7355">
      <w:pPr>
        <w:sectPr w:rsidR="002611A8" w:rsidSect="00ED7355">
          <w:headerReference w:type="first" r:id="rId26"/>
          <w:footerReference w:type="first" r:id="rId27"/>
          <w:type w:val="oddPage"/>
          <w:pgSz w:w="11909" w:h="16834" w:code="9"/>
          <w:pgMar w:top="1701" w:right="1701" w:bottom="1701" w:left="1701" w:header="851" w:footer="851" w:gutter="0"/>
          <w:cols w:space="708"/>
          <w:titlePg/>
          <w:docGrid w:linePitch="360"/>
        </w:sectPr>
      </w:pPr>
    </w:p>
    <w:p w14:paraId="2B93DBAA" w14:textId="77777777" w:rsidR="002611A8" w:rsidRDefault="002611A8" w:rsidP="00CE7A85">
      <w:pPr>
        <w:pStyle w:val="PreChapterHeading"/>
      </w:pPr>
      <w:bookmarkStart w:id="0" w:name="_Toc27652688"/>
      <w:r>
        <w:lastRenderedPageBreak/>
        <w:t>Contact details</w:t>
      </w:r>
      <w:bookmarkEnd w:id="0"/>
    </w:p>
    <w:p w14:paraId="625ED795" w14:textId="77777777" w:rsidR="002611A8" w:rsidRDefault="002611A8" w:rsidP="002611A8">
      <w:r>
        <w:t>Inquiries regarding this report may be directed to:</w:t>
      </w:r>
    </w:p>
    <w:p w14:paraId="6B814C43" w14:textId="77777777" w:rsidR="002611A8" w:rsidRDefault="002611A8" w:rsidP="002611A8">
      <w:pPr>
        <w:pStyle w:val="SingleParagraph"/>
      </w:pPr>
      <w:r>
        <w:t>Board of Taxation Secretariat</w:t>
      </w:r>
    </w:p>
    <w:p w14:paraId="5A579E13" w14:textId="77777777" w:rsidR="002611A8" w:rsidRDefault="002611A8" w:rsidP="002611A8">
      <w:pPr>
        <w:pStyle w:val="SingleParagraph"/>
      </w:pPr>
      <w:r>
        <w:t>c/o — The Treasury</w:t>
      </w:r>
    </w:p>
    <w:p w14:paraId="6E5822EE" w14:textId="77777777" w:rsidR="002611A8" w:rsidRDefault="002611A8" w:rsidP="002611A8">
      <w:pPr>
        <w:pStyle w:val="SingleParagraph"/>
      </w:pPr>
      <w:r>
        <w:t>Langton Crescent</w:t>
      </w:r>
    </w:p>
    <w:p w14:paraId="4640F11B" w14:textId="77777777" w:rsidR="002611A8" w:rsidRDefault="002611A8" w:rsidP="002611A8">
      <w:r>
        <w:t>PARKES ACT 2600</w:t>
      </w:r>
    </w:p>
    <w:p w14:paraId="446E8155" w14:textId="77777777" w:rsidR="002611A8" w:rsidRDefault="002611A8" w:rsidP="002611A8">
      <w:pPr>
        <w:pStyle w:val="SingleParagraph"/>
      </w:pPr>
      <w:r>
        <w:t>Telephone:</w:t>
      </w:r>
      <w:r>
        <w:tab/>
      </w:r>
      <w:r>
        <w:tab/>
        <w:t>02 6263 4366</w:t>
      </w:r>
    </w:p>
    <w:p w14:paraId="5E6482A1" w14:textId="77777777" w:rsidR="002611A8" w:rsidRDefault="002611A8" w:rsidP="002611A8">
      <w:pPr>
        <w:pStyle w:val="SingleParagraph"/>
      </w:pPr>
      <w:r>
        <w:t>Email:</w:t>
      </w:r>
      <w:r>
        <w:tab/>
      </w:r>
      <w:r>
        <w:tab/>
      </w:r>
      <w:hyperlink r:id="rId28" w:history="1">
        <w:r w:rsidRPr="00DE4676">
          <w:rPr>
            <w:rStyle w:val="Hyperlink"/>
          </w:rPr>
          <w:t>taxboard@treasury.gov.au</w:t>
        </w:r>
      </w:hyperlink>
    </w:p>
    <w:p w14:paraId="50F431C7" w14:textId="77777777" w:rsidR="002611A8" w:rsidRDefault="002611A8" w:rsidP="002611A8">
      <w:pPr>
        <w:pStyle w:val="SingleParagraph"/>
        <w:sectPr w:rsidR="002611A8" w:rsidSect="00ED7355">
          <w:footerReference w:type="first" r:id="rId29"/>
          <w:type w:val="oddPage"/>
          <w:pgSz w:w="11909" w:h="16834" w:code="9"/>
          <w:pgMar w:top="1701" w:right="1701" w:bottom="1701" w:left="1701" w:header="851" w:footer="851" w:gutter="0"/>
          <w:cols w:space="708"/>
          <w:titlePg/>
          <w:docGrid w:linePitch="360"/>
        </w:sectPr>
      </w:pPr>
    </w:p>
    <w:p w14:paraId="43269096" w14:textId="77777777" w:rsidR="002611A8" w:rsidRDefault="002611A8" w:rsidP="00CE7A85">
      <w:pPr>
        <w:pStyle w:val="PreChapterHeading"/>
      </w:pPr>
      <w:bookmarkStart w:id="1" w:name="_Toc27652689"/>
      <w:r>
        <w:lastRenderedPageBreak/>
        <w:t>Glossary of terms</w:t>
      </w:r>
      <w:bookmarkEnd w:id="1"/>
    </w:p>
    <w:tbl>
      <w:tblPr>
        <w:tblStyle w:val="TableGrid"/>
        <w:tblW w:w="0" w:type="auto"/>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634"/>
        <w:gridCol w:w="6873"/>
      </w:tblGrid>
      <w:tr w:rsidR="00655168" w14:paraId="2BE438BB" w14:textId="77777777" w:rsidTr="00950628">
        <w:tc>
          <w:tcPr>
            <w:tcW w:w="1634" w:type="dxa"/>
          </w:tcPr>
          <w:p w14:paraId="3985968C" w14:textId="77777777" w:rsidR="00655168" w:rsidRPr="00F9643E" w:rsidRDefault="00655168" w:rsidP="00D76266">
            <w:r w:rsidRPr="00F9643E">
              <w:t>AO</w:t>
            </w:r>
          </w:p>
        </w:tc>
        <w:tc>
          <w:tcPr>
            <w:tcW w:w="6873" w:type="dxa"/>
          </w:tcPr>
          <w:p w14:paraId="54ED3A59" w14:textId="77777777" w:rsidR="00655168" w:rsidRPr="00FA70F5" w:rsidRDefault="00655168" w:rsidP="00D76266">
            <w:r w:rsidRPr="00FA70F5">
              <w:t>Order of Australia – Officer of the Order</w:t>
            </w:r>
          </w:p>
        </w:tc>
      </w:tr>
      <w:tr w:rsidR="00655168" w14:paraId="00096CFD" w14:textId="77777777" w:rsidTr="00950628">
        <w:tc>
          <w:tcPr>
            <w:tcW w:w="1634" w:type="dxa"/>
          </w:tcPr>
          <w:p w14:paraId="6D6133F3" w14:textId="77777777" w:rsidR="00655168" w:rsidRPr="00F9643E" w:rsidRDefault="00655168" w:rsidP="00D76266">
            <w:r w:rsidRPr="00F9643E">
              <w:t>AM</w:t>
            </w:r>
          </w:p>
        </w:tc>
        <w:tc>
          <w:tcPr>
            <w:tcW w:w="6873" w:type="dxa"/>
          </w:tcPr>
          <w:p w14:paraId="4512DF32" w14:textId="77777777" w:rsidR="00655168" w:rsidRPr="00FA70F5" w:rsidRDefault="00655168" w:rsidP="00D76266">
            <w:r w:rsidRPr="00FA70F5">
              <w:t>Order of Australia – Member of the Order</w:t>
            </w:r>
          </w:p>
        </w:tc>
      </w:tr>
      <w:tr w:rsidR="00655168" w14:paraId="4AD308F0" w14:textId="77777777" w:rsidTr="00950628">
        <w:tc>
          <w:tcPr>
            <w:tcW w:w="1634" w:type="dxa"/>
          </w:tcPr>
          <w:p w14:paraId="04A6E800" w14:textId="77777777" w:rsidR="00655168" w:rsidRPr="00F9643E" w:rsidRDefault="00655168" w:rsidP="00D76266">
            <w:r w:rsidRPr="00F9643E">
              <w:t>AASB</w:t>
            </w:r>
          </w:p>
        </w:tc>
        <w:tc>
          <w:tcPr>
            <w:tcW w:w="6873" w:type="dxa"/>
          </w:tcPr>
          <w:p w14:paraId="121F036C" w14:textId="77777777" w:rsidR="00655168" w:rsidRPr="00FA70F5" w:rsidRDefault="00655168" w:rsidP="00D76266">
            <w:r w:rsidRPr="00FA70F5">
              <w:t>Australian Accounting Standards Board</w:t>
            </w:r>
          </w:p>
        </w:tc>
      </w:tr>
      <w:tr w:rsidR="00655168" w14:paraId="36BA4166" w14:textId="77777777" w:rsidTr="00950628">
        <w:tc>
          <w:tcPr>
            <w:tcW w:w="1634" w:type="dxa"/>
          </w:tcPr>
          <w:p w14:paraId="1D0ACA82" w14:textId="77777777" w:rsidR="00655168" w:rsidRPr="00F9643E" w:rsidRDefault="00655168" w:rsidP="00D76266">
            <w:r w:rsidRPr="00F9643E">
              <w:t>ATO</w:t>
            </w:r>
          </w:p>
        </w:tc>
        <w:tc>
          <w:tcPr>
            <w:tcW w:w="6873" w:type="dxa"/>
          </w:tcPr>
          <w:p w14:paraId="42078D08" w14:textId="77777777" w:rsidR="00655168" w:rsidRPr="00FA70F5" w:rsidRDefault="00655168" w:rsidP="00D76266">
            <w:r w:rsidRPr="00FA70F5">
              <w:t>Australian Taxation Office</w:t>
            </w:r>
          </w:p>
        </w:tc>
      </w:tr>
      <w:tr w:rsidR="00655168" w14:paraId="1F70A493" w14:textId="77777777" w:rsidTr="00950628">
        <w:tc>
          <w:tcPr>
            <w:tcW w:w="1634" w:type="dxa"/>
          </w:tcPr>
          <w:p w14:paraId="226BC990" w14:textId="77777777" w:rsidR="00655168" w:rsidRPr="00F9643E" w:rsidRDefault="00655168" w:rsidP="00D76266">
            <w:r w:rsidRPr="00F9643E">
              <w:t>BDO</w:t>
            </w:r>
          </w:p>
        </w:tc>
        <w:tc>
          <w:tcPr>
            <w:tcW w:w="6873" w:type="dxa"/>
          </w:tcPr>
          <w:p w14:paraId="1C20552F" w14:textId="77777777" w:rsidR="00655168" w:rsidRPr="00FA70F5" w:rsidRDefault="00655168" w:rsidP="00D76266">
            <w:r w:rsidRPr="00FA70F5">
              <w:t xml:space="preserve">Binder </w:t>
            </w:r>
            <w:proofErr w:type="spellStart"/>
            <w:r w:rsidRPr="00FA70F5">
              <w:t>Dijker</w:t>
            </w:r>
            <w:proofErr w:type="spellEnd"/>
            <w:r w:rsidRPr="00FA70F5">
              <w:t xml:space="preserve"> </w:t>
            </w:r>
            <w:proofErr w:type="spellStart"/>
            <w:r w:rsidRPr="00FA70F5">
              <w:t>Otte</w:t>
            </w:r>
            <w:proofErr w:type="spellEnd"/>
          </w:p>
        </w:tc>
      </w:tr>
      <w:tr w:rsidR="00655168" w14:paraId="6A367EF0" w14:textId="77777777" w:rsidTr="00950628">
        <w:tc>
          <w:tcPr>
            <w:tcW w:w="1634" w:type="dxa"/>
          </w:tcPr>
          <w:p w14:paraId="3F664D3B" w14:textId="77777777" w:rsidR="00655168" w:rsidRPr="00F9643E" w:rsidRDefault="00655168" w:rsidP="00D76266">
            <w:r w:rsidRPr="00F9643E">
              <w:t>The Board</w:t>
            </w:r>
          </w:p>
        </w:tc>
        <w:tc>
          <w:tcPr>
            <w:tcW w:w="6873" w:type="dxa"/>
          </w:tcPr>
          <w:p w14:paraId="52ADA241" w14:textId="77777777" w:rsidR="00655168" w:rsidRPr="00FA70F5" w:rsidRDefault="00655168" w:rsidP="00D76266">
            <w:r w:rsidRPr="00FA70F5">
              <w:t>The Board of Taxation</w:t>
            </w:r>
          </w:p>
        </w:tc>
      </w:tr>
      <w:tr w:rsidR="00655168" w14:paraId="3624775D" w14:textId="77777777" w:rsidTr="00950628">
        <w:tc>
          <w:tcPr>
            <w:tcW w:w="1634" w:type="dxa"/>
          </w:tcPr>
          <w:p w14:paraId="47B0A989" w14:textId="77777777" w:rsidR="00655168" w:rsidRPr="00F9643E" w:rsidRDefault="00655168" w:rsidP="00D76266">
            <w:r w:rsidRPr="00F9643E">
              <w:t>CEO</w:t>
            </w:r>
          </w:p>
        </w:tc>
        <w:tc>
          <w:tcPr>
            <w:tcW w:w="6873" w:type="dxa"/>
          </w:tcPr>
          <w:p w14:paraId="5F64B945" w14:textId="77777777" w:rsidR="00655168" w:rsidRPr="00FA70F5" w:rsidRDefault="00655168" w:rsidP="00D76266">
            <w:r w:rsidRPr="00FA70F5">
              <w:t>Chief Executive Officer</w:t>
            </w:r>
          </w:p>
        </w:tc>
      </w:tr>
      <w:tr w:rsidR="00655168" w14:paraId="332D7861" w14:textId="77777777" w:rsidTr="00950628">
        <w:tc>
          <w:tcPr>
            <w:tcW w:w="1634" w:type="dxa"/>
          </w:tcPr>
          <w:p w14:paraId="300408D2" w14:textId="77777777" w:rsidR="00655168" w:rsidRPr="00F9643E" w:rsidRDefault="00655168" w:rsidP="00D76266">
            <w:r w:rsidRPr="00F9643E">
              <w:t>EY</w:t>
            </w:r>
          </w:p>
        </w:tc>
        <w:tc>
          <w:tcPr>
            <w:tcW w:w="6873" w:type="dxa"/>
          </w:tcPr>
          <w:p w14:paraId="25D3388E" w14:textId="77777777" w:rsidR="00655168" w:rsidRPr="00FA70F5" w:rsidRDefault="00655168" w:rsidP="00D76266">
            <w:r w:rsidRPr="00FA70F5">
              <w:t>Ernst &amp; Young</w:t>
            </w:r>
          </w:p>
        </w:tc>
      </w:tr>
      <w:tr w:rsidR="00655168" w14:paraId="5F985FF7" w14:textId="77777777" w:rsidTr="00950628">
        <w:tc>
          <w:tcPr>
            <w:tcW w:w="1634" w:type="dxa"/>
          </w:tcPr>
          <w:p w14:paraId="726FDE14" w14:textId="77777777" w:rsidR="00655168" w:rsidRPr="00F9643E" w:rsidRDefault="00655168" w:rsidP="00D76266">
            <w:r w:rsidRPr="00F9643E">
              <w:t>MAC</w:t>
            </w:r>
          </w:p>
        </w:tc>
        <w:tc>
          <w:tcPr>
            <w:tcW w:w="6873" w:type="dxa"/>
          </w:tcPr>
          <w:p w14:paraId="48A791FD" w14:textId="77777777" w:rsidR="00655168" w:rsidRPr="00FA70F5" w:rsidRDefault="00655168" w:rsidP="00D76266">
            <w:r w:rsidRPr="00FA70F5">
              <w:t>Ministerial Advisory Council</w:t>
            </w:r>
          </w:p>
        </w:tc>
      </w:tr>
      <w:tr w:rsidR="00655168" w14:paraId="57B74201" w14:textId="77777777" w:rsidTr="00950628">
        <w:tc>
          <w:tcPr>
            <w:tcW w:w="1634" w:type="dxa"/>
          </w:tcPr>
          <w:p w14:paraId="73A66463" w14:textId="77777777" w:rsidR="00655168" w:rsidRPr="00F9643E" w:rsidRDefault="00655168" w:rsidP="00D76266">
            <w:r w:rsidRPr="00F9643E">
              <w:t>OECD</w:t>
            </w:r>
          </w:p>
        </w:tc>
        <w:tc>
          <w:tcPr>
            <w:tcW w:w="6873" w:type="dxa"/>
          </w:tcPr>
          <w:p w14:paraId="51662C1D" w14:textId="77777777" w:rsidR="00655168" w:rsidRPr="00FA70F5" w:rsidRDefault="00655168" w:rsidP="00D76266">
            <w:r w:rsidRPr="00FA70F5">
              <w:t>Organisation for Economic Co-operation and Development</w:t>
            </w:r>
          </w:p>
        </w:tc>
      </w:tr>
      <w:tr w:rsidR="00655168" w14:paraId="4236389A" w14:textId="77777777" w:rsidTr="00950628">
        <w:tc>
          <w:tcPr>
            <w:tcW w:w="1634" w:type="dxa"/>
          </w:tcPr>
          <w:p w14:paraId="2C6C08AA" w14:textId="77777777" w:rsidR="00655168" w:rsidRPr="00F9643E" w:rsidRDefault="00655168" w:rsidP="00D76266">
            <w:r w:rsidRPr="00F9643E">
              <w:t>OPC</w:t>
            </w:r>
          </w:p>
        </w:tc>
        <w:tc>
          <w:tcPr>
            <w:tcW w:w="6873" w:type="dxa"/>
          </w:tcPr>
          <w:p w14:paraId="4795359A" w14:textId="77777777" w:rsidR="00655168" w:rsidRPr="00FA70F5" w:rsidRDefault="00655168" w:rsidP="00D76266">
            <w:r w:rsidRPr="00FA70F5">
              <w:t>Office of Parliamentary Counsel</w:t>
            </w:r>
          </w:p>
        </w:tc>
      </w:tr>
      <w:tr w:rsidR="00655168" w14:paraId="21813817" w14:textId="77777777" w:rsidTr="00950628">
        <w:tc>
          <w:tcPr>
            <w:tcW w:w="1634" w:type="dxa"/>
          </w:tcPr>
          <w:p w14:paraId="352635C0" w14:textId="77777777" w:rsidR="00655168" w:rsidRPr="00F9643E" w:rsidRDefault="00655168" w:rsidP="00D76266">
            <w:r w:rsidRPr="00F9643E">
              <w:t>PwC</w:t>
            </w:r>
          </w:p>
        </w:tc>
        <w:tc>
          <w:tcPr>
            <w:tcW w:w="6873" w:type="dxa"/>
          </w:tcPr>
          <w:p w14:paraId="15E8DD5F" w14:textId="77777777" w:rsidR="00655168" w:rsidRPr="00FA70F5" w:rsidRDefault="00655168" w:rsidP="00D76266">
            <w:r w:rsidRPr="00FA70F5">
              <w:t>PricewaterhouseCoopers</w:t>
            </w:r>
          </w:p>
        </w:tc>
      </w:tr>
      <w:tr w:rsidR="00655168" w14:paraId="1F2C3E30" w14:textId="77777777" w:rsidTr="00950628">
        <w:tc>
          <w:tcPr>
            <w:tcW w:w="1634" w:type="dxa"/>
          </w:tcPr>
          <w:p w14:paraId="75519522" w14:textId="77777777" w:rsidR="00655168" w:rsidRPr="00F9643E" w:rsidRDefault="00655168" w:rsidP="00D76266">
            <w:r w:rsidRPr="00F9643E">
              <w:t>PSM</w:t>
            </w:r>
          </w:p>
        </w:tc>
        <w:tc>
          <w:tcPr>
            <w:tcW w:w="6873" w:type="dxa"/>
          </w:tcPr>
          <w:p w14:paraId="55D31DD4" w14:textId="77777777" w:rsidR="00655168" w:rsidRPr="00FA70F5" w:rsidRDefault="00655168" w:rsidP="00D76266">
            <w:r w:rsidRPr="00FA70F5">
              <w:t>Public Service Medal</w:t>
            </w:r>
          </w:p>
        </w:tc>
      </w:tr>
    </w:tbl>
    <w:p w14:paraId="7F5A67B0" w14:textId="77777777" w:rsidR="00655168" w:rsidRDefault="00655168" w:rsidP="00655168">
      <w:pPr>
        <w:sectPr w:rsidR="00655168" w:rsidSect="002611A8">
          <w:headerReference w:type="first" r:id="rId30"/>
          <w:footerReference w:type="first" r:id="rId31"/>
          <w:pgSz w:w="11909" w:h="16834" w:code="9"/>
          <w:pgMar w:top="1701" w:right="1701" w:bottom="1701" w:left="1701" w:header="851" w:footer="851" w:gutter="0"/>
          <w:cols w:space="708"/>
          <w:titlePg/>
          <w:docGrid w:linePitch="360"/>
        </w:sectPr>
      </w:pPr>
    </w:p>
    <w:p w14:paraId="4A48CA3E" w14:textId="22DAD014" w:rsidR="00655168" w:rsidRDefault="00655168" w:rsidP="00CE7A85">
      <w:pPr>
        <w:pStyle w:val="PreChapterHeading"/>
      </w:pPr>
      <w:bookmarkStart w:id="2" w:name="_Toc27652690"/>
      <w:r>
        <w:lastRenderedPageBreak/>
        <w:t>I</w:t>
      </w:r>
      <w:r w:rsidRPr="00655168">
        <w:t xml:space="preserve">ntroduction from the </w:t>
      </w:r>
      <w:r w:rsidR="006A595C">
        <w:t xml:space="preserve">Acting </w:t>
      </w:r>
      <w:r>
        <w:t>C</w:t>
      </w:r>
      <w:r w:rsidRPr="00655168">
        <w:t>hair</w:t>
      </w:r>
      <w:bookmarkEnd w:id="2"/>
    </w:p>
    <w:p w14:paraId="58391596" w14:textId="77777777" w:rsidR="00B63ADF" w:rsidRDefault="00B63ADF" w:rsidP="00B63ADF">
      <w:r>
        <w:t xml:space="preserve">The Board plays an important role in advising the Government on improving the integrity and proper functioning of the taxation system and the quality and effectiveness of legislation </w:t>
      </w:r>
      <w:r w:rsidRPr="00B324DF">
        <w:t>and the processes for its development</w:t>
      </w:r>
      <w:r>
        <w:t>. Board members bring a diverse range of backgrounds, experience and independence to the Board’s advice to Government. This is supported by the frank input of the business and tax community, the Treasury, the ATO and other government departments.</w:t>
      </w:r>
    </w:p>
    <w:p w14:paraId="46A3D877" w14:textId="44399246" w:rsidR="00ED760F" w:rsidRDefault="00607DE0" w:rsidP="00655168">
      <w:r>
        <w:t xml:space="preserve">The past year was marked by the premature passing of our Chair, Michael Andrew AO. </w:t>
      </w:r>
      <w:r w:rsidR="00667E2A">
        <w:t>Michael was an inspiration</w:t>
      </w:r>
      <w:r w:rsidR="0002619A">
        <w:t>al</w:t>
      </w:r>
      <w:r w:rsidR="00667E2A">
        <w:t xml:space="preserve"> </w:t>
      </w:r>
      <w:r w:rsidR="00B3200B">
        <w:t>leader of the Board and a mentor to its members. He approached the Board’s work with enthusiasm, focussing on improving the operation of the tax system</w:t>
      </w:r>
      <w:r w:rsidR="0002619A">
        <w:t xml:space="preserve"> for all Australians</w:t>
      </w:r>
      <w:r w:rsidR="00B3200B">
        <w:t xml:space="preserve">. Under his leadership he </w:t>
      </w:r>
      <w:r w:rsidR="0002619A">
        <w:t>directed</w:t>
      </w:r>
      <w:r w:rsidR="00ED760F">
        <w:t xml:space="preserve"> </w:t>
      </w:r>
      <w:r w:rsidR="00B3200B">
        <w:t xml:space="preserve">a significant and far reaching body of work </w:t>
      </w:r>
      <w:r w:rsidR="00ED760F">
        <w:t xml:space="preserve">by the Board and the Black Economy Taskforce. </w:t>
      </w:r>
      <w:r>
        <w:t xml:space="preserve"> His legacy </w:t>
      </w:r>
      <w:r w:rsidR="00B5358D">
        <w:t xml:space="preserve">will continue for many years in </w:t>
      </w:r>
      <w:r w:rsidR="00B222B4">
        <w:t>both the work of the Board and the Australian tax system more generally</w:t>
      </w:r>
      <w:r>
        <w:t>.</w:t>
      </w:r>
    </w:p>
    <w:p w14:paraId="65837760" w14:textId="52B6D658" w:rsidR="00655168" w:rsidRDefault="000244F2" w:rsidP="00655168">
      <w:r>
        <w:t>In the 2018</w:t>
      </w:r>
      <w:r w:rsidR="00AE7B94">
        <w:noBreakHyphen/>
      </w:r>
      <w:r>
        <w:t>19 year the</w:t>
      </w:r>
      <w:r w:rsidR="00B222B4">
        <w:t xml:space="preserve"> Board </w:t>
      </w:r>
      <w:r w:rsidR="00D64A42">
        <w:t xml:space="preserve">provided a number of significant reports to the Government including reports on small business tax concessions, individual tax residency rules and deferred consideration. </w:t>
      </w:r>
      <w:r>
        <w:t xml:space="preserve">In undertaking our work we were greatly assisted by the contribution of members of the tax community who joined our working groups and participated in our public consultation. </w:t>
      </w:r>
      <w:r w:rsidR="00D64A42">
        <w:t xml:space="preserve">The Board has continued </w:t>
      </w:r>
      <w:r w:rsidR="001561CF">
        <w:t xml:space="preserve">to have an ongoing focus on reducing red tape </w:t>
      </w:r>
      <w:r w:rsidR="00D64A42">
        <w:t>t</w:t>
      </w:r>
      <w:r w:rsidR="001561CF">
        <w:t xml:space="preserve">hrough </w:t>
      </w:r>
      <w:r w:rsidR="00BA5BDE">
        <w:t xml:space="preserve">our reviews and </w:t>
      </w:r>
      <w:r w:rsidR="001561CF">
        <w:t xml:space="preserve">the Sounding Board. </w:t>
      </w:r>
      <w:r w:rsidR="001E6F05" w:rsidRPr="001E6F05">
        <w:t>Ideas posted on Sounding Board are discussed at every Board meeting and taken into account in the reviews the Board undertakes and in formulating future projects for the Board</w:t>
      </w:r>
      <w:r w:rsidR="001E6F05">
        <w:t>. For example, the review of the fringe benefits tax compliance costs was an issue raised on Sounding Board</w:t>
      </w:r>
      <w:r w:rsidR="007C1D0D">
        <w:t xml:space="preserve"> as an area involving significant red tape and compliance costs. </w:t>
      </w:r>
      <w:r w:rsidR="007C1D0D" w:rsidRPr="007C1D0D">
        <w:t xml:space="preserve">I </w:t>
      </w:r>
      <w:r w:rsidR="00D64A42">
        <w:t>thank</w:t>
      </w:r>
      <w:r w:rsidR="007C1D0D" w:rsidRPr="007C1D0D">
        <w:t xml:space="preserve"> </w:t>
      </w:r>
      <w:r w:rsidR="00D64A42">
        <w:t>all those who contributed</w:t>
      </w:r>
      <w:r w:rsidR="007C1D0D" w:rsidRPr="007C1D0D">
        <w:t xml:space="preserve"> their ideas to Sounding Board and encourage </w:t>
      </w:r>
      <w:r w:rsidR="00D64A42">
        <w:t xml:space="preserve">the tax community </w:t>
      </w:r>
      <w:r w:rsidR="007C1D0D" w:rsidRPr="007C1D0D">
        <w:t xml:space="preserve">to continue </w:t>
      </w:r>
      <w:r>
        <w:t>to use</w:t>
      </w:r>
      <w:r w:rsidR="007C1D0D" w:rsidRPr="007C1D0D">
        <w:t xml:space="preserve"> this forum to </w:t>
      </w:r>
      <w:r w:rsidR="007C1D0D">
        <w:t>raise and discuss ideas to improve the tax system</w:t>
      </w:r>
      <w:r w:rsidR="007C1D0D" w:rsidRPr="007C1D0D">
        <w:t>.</w:t>
      </w:r>
      <w:r w:rsidR="007C1D0D">
        <w:t xml:space="preserve"> </w:t>
      </w:r>
    </w:p>
    <w:p w14:paraId="79BCB030" w14:textId="443A6342" w:rsidR="00EB07CD" w:rsidRDefault="00EB07CD" w:rsidP="00655168">
      <w:r w:rsidRPr="00EB07CD">
        <w:t xml:space="preserve">On behalf of the Board, I wish to express my appreciation for the input, assistance and engagement of </w:t>
      </w:r>
      <w:r w:rsidR="000244F2">
        <w:t>the tax community</w:t>
      </w:r>
      <w:r w:rsidRPr="00EB07CD">
        <w:t xml:space="preserve"> throughout the past year. </w:t>
      </w:r>
      <w:r w:rsidR="00862580">
        <w:t xml:space="preserve">Your input is critical to the success of the Board and its work. </w:t>
      </w:r>
      <w:r w:rsidRPr="00EB07CD">
        <w:t xml:space="preserve">I, and the other Board members, look forward to </w:t>
      </w:r>
      <w:r w:rsidR="00862580">
        <w:t xml:space="preserve">continuing to develop and enhance this </w:t>
      </w:r>
      <w:r w:rsidRPr="00EB07CD">
        <w:t>critical relationship.</w:t>
      </w:r>
    </w:p>
    <w:p w14:paraId="0A54B918" w14:textId="0E998099" w:rsidR="00567EE4" w:rsidRDefault="00567EE4" w:rsidP="00655168">
      <w:r w:rsidRPr="00567EE4">
        <w:t xml:space="preserve">I also acknowledge the significant contribution to the Board made by </w:t>
      </w:r>
      <w:r>
        <w:t>Karen Payne</w:t>
      </w:r>
      <w:r w:rsidRPr="00567EE4">
        <w:t>, who retired from the Board</w:t>
      </w:r>
      <w:r w:rsidR="000244F2">
        <w:t xml:space="preserve"> following her appointment as</w:t>
      </w:r>
      <w:r w:rsidRPr="00567EE4">
        <w:t xml:space="preserve"> Inspector General of Taxation and Taxation Ombudsmen.</w:t>
      </w:r>
      <w:r>
        <w:t xml:space="preserve"> Karen was </w:t>
      </w:r>
      <w:r w:rsidR="000244F2">
        <w:t xml:space="preserve">both a member of the Board and </w:t>
      </w:r>
      <w:r>
        <w:t xml:space="preserve">the inaugural Chief Executive Officer </w:t>
      </w:r>
      <w:r w:rsidRPr="00567EE4">
        <w:t>and during h</w:t>
      </w:r>
      <w:r w:rsidR="00721A4A">
        <w:t>er</w:t>
      </w:r>
      <w:r w:rsidRPr="00567EE4">
        <w:t xml:space="preserve"> tenure oversaw a number of key projects, including:</w:t>
      </w:r>
    </w:p>
    <w:p w14:paraId="21D58211" w14:textId="57F557D6" w:rsidR="009F56C2" w:rsidRDefault="009F56C2" w:rsidP="00AE7B94">
      <w:pPr>
        <w:pStyle w:val="Bullet"/>
      </w:pPr>
      <w:r>
        <w:t>Review of the tax treatment of Granny flat arrangements;</w:t>
      </w:r>
    </w:p>
    <w:p w14:paraId="446BCD49" w14:textId="77777777" w:rsidR="009F56C2" w:rsidRDefault="009F56C2" w:rsidP="00AE7B94">
      <w:pPr>
        <w:pStyle w:val="Bullet"/>
      </w:pPr>
      <w:r>
        <w:t>Tax system improvement (Sounding Board);</w:t>
      </w:r>
    </w:p>
    <w:p w14:paraId="76AF4BF9" w14:textId="77777777" w:rsidR="009F56C2" w:rsidRDefault="009F56C2" w:rsidP="00AE7B94">
      <w:pPr>
        <w:pStyle w:val="Bullet"/>
      </w:pPr>
      <w:r>
        <w:t>Mandatory disclosure rules;</w:t>
      </w:r>
    </w:p>
    <w:p w14:paraId="38180EF8" w14:textId="10CF4065" w:rsidR="009F56C2" w:rsidRDefault="009F56C2" w:rsidP="00AE7B94">
      <w:pPr>
        <w:pStyle w:val="Bullet"/>
      </w:pPr>
      <w:r>
        <w:lastRenderedPageBreak/>
        <w:t>Review of application of hybrid mismatch rules to regulatory capital; and</w:t>
      </w:r>
    </w:p>
    <w:p w14:paraId="2B865E7A" w14:textId="4B80FA1D" w:rsidR="00721A4A" w:rsidRDefault="00BE67C0" w:rsidP="00AE7B94">
      <w:pPr>
        <w:pStyle w:val="Bullet"/>
      </w:pPr>
      <w:r>
        <w:t>Implementing the OECD</w:t>
      </w:r>
      <w:r w:rsidR="009F56C2">
        <w:t xml:space="preserve"> anti-hybrid rules in Australia.</w:t>
      </w:r>
    </w:p>
    <w:p w14:paraId="0C092431" w14:textId="2EEBFC3D" w:rsidR="00E73AA6" w:rsidRDefault="009F56C2" w:rsidP="00655168">
      <w:r>
        <w:t>I look forward to another productive year in 2019</w:t>
      </w:r>
      <w:r>
        <w:noBreakHyphen/>
        <w:t>20</w:t>
      </w:r>
      <w:r w:rsidR="00E73AA6">
        <w:t xml:space="preserve"> and encourage you to stay connected to the Board of Taxation by subscribing via the Board’s website (</w:t>
      </w:r>
      <w:hyperlink r:id="rId32" w:history="1">
        <w:r w:rsidR="00E73AA6" w:rsidRPr="00515351">
          <w:rPr>
            <w:rStyle w:val="Hyperlink"/>
          </w:rPr>
          <w:t>http://taxbord.gov.au/email-subscription/</w:t>
        </w:r>
      </w:hyperlink>
      <w:r w:rsidR="00E73AA6">
        <w:t>) or its LinkedIn page (</w:t>
      </w:r>
      <w:hyperlink r:id="rId33" w:history="1">
        <w:r w:rsidR="00E73AA6" w:rsidRPr="00515351">
          <w:rPr>
            <w:rStyle w:val="Hyperlink"/>
          </w:rPr>
          <w:t>https://www.linkedin.com/company-beta/18103811/</w:t>
        </w:r>
      </w:hyperlink>
      <w:r w:rsidR="00E73AA6">
        <w:t xml:space="preserve">). </w:t>
      </w:r>
    </w:p>
    <w:p w14:paraId="7F878952" w14:textId="213F7D8A" w:rsidR="00655168" w:rsidRDefault="00655168" w:rsidP="00FD684B">
      <w:pPr>
        <w:pStyle w:val="NoSpacing"/>
      </w:pPr>
    </w:p>
    <w:p w14:paraId="1BBFE6C9" w14:textId="17A5790A" w:rsidR="0002619A" w:rsidRDefault="00691490" w:rsidP="00FD684B">
      <w:pPr>
        <w:pStyle w:val="NoSpacing"/>
      </w:pPr>
      <w:r w:rsidRPr="00515825">
        <w:rPr>
          <w:b/>
          <w:noProof/>
        </w:rPr>
        <w:drawing>
          <wp:inline distT="0" distB="0" distL="0" distR="0" wp14:anchorId="4221305A" wp14:editId="0E48BD9F">
            <wp:extent cx="2043485" cy="65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0655" cy="668687"/>
                    </a:xfrm>
                    <a:prstGeom prst="rect">
                      <a:avLst/>
                    </a:prstGeom>
                    <a:noFill/>
                    <a:ln>
                      <a:noFill/>
                    </a:ln>
                  </pic:spPr>
                </pic:pic>
              </a:graphicData>
            </a:graphic>
          </wp:inline>
        </w:drawing>
      </w:r>
    </w:p>
    <w:p w14:paraId="259E45E2" w14:textId="642B9213" w:rsidR="0002619A" w:rsidRDefault="00691490" w:rsidP="00FD684B">
      <w:pPr>
        <w:pStyle w:val="NoSpacing"/>
      </w:pPr>
      <w:r>
        <w:t xml:space="preserve">Dr Julianne </w:t>
      </w:r>
      <w:proofErr w:type="spellStart"/>
      <w:r>
        <w:t>Jaques</w:t>
      </w:r>
      <w:proofErr w:type="spellEnd"/>
    </w:p>
    <w:p w14:paraId="0DABFAC4" w14:textId="77777777" w:rsidR="00655168" w:rsidRDefault="009F7BBD" w:rsidP="00655168">
      <w:r>
        <w:t xml:space="preserve">Acting </w:t>
      </w:r>
      <w:r w:rsidR="00655168">
        <w:t>Chair, Board of Taxation</w:t>
      </w:r>
    </w:p>
    <w:p w14:paraId="19BFDAF1" w14:textId="77777777" w:rsidR="00655168" w:rsidRDefault="00655168" w:rsidP="00655168">
      <w:pPr>
        <w:sectPr w:rsidR="00655168" w:rsidSect="002611A8">
          <w:headerReference w:type="first" r:id="rId35"/>
          <w:footerReference w:type="first" r:id="rId36"/>
          <w:pgSz w:w="11909" w:h="16834" w:code="9"/>
          <w:pgMar w:top="1701" w:right="1701" w:bottom="1701" w:left="1701" w:header="851" w:footer="851" w:gutter="0"/>
          <w:cols w:space="708"/>
          <w:titlePg/>
          <w:docGrid w:linePitch="360"/>
        </w:sectPr>
      </w:pPr>
    </w:p>
    <w:p w14:paraId="703F09B1" w14:textId="77777777" w:rsidR="00655168" w:rsidRDefault="00655168" w:rsidP="00CE7A85">
      <w:pPr>
        <w:pStyle w:val="PreChapterHeading"/>
      </w:pPr>
      <w:bookmarkStart w:id="3" w:name="_Toc27652691"/>
      <w:r>
        <w:lastRenderedPageBreak/>
        <w:t>I</w:t>
      </w:r>
      <w:r w:rsidRPr="00655168">
        <w:t>ntroduction from the CEO</w:t>
      </w:r>
      <w:bookmarkEnd w:id="3"/>
    </w:p>
    <w:p w14:paraId="31DDD9E1" w14:textId="53555813" w:rsidR="00A13265" w:rsidRDefault="00A13265" w:rsidP="005032AC">
      <w:r>
        <w:t>The Board plays a</w:t>
      </w:r>
      <w:r w:rsidR="00F67BAE">
        <w:t>n</w:t>
      </w:r>
      <w:r>
        <w:t xml:space="preserve"> important role in the tax system</w:t>
      </w:r>
      <w:r w:rsidR="00055C8F">
        <w:t xml:space="preserve">. Through </w:t>
      </w:r>
      <w:r>
        <w:t>contribut</w:t>
      </w:r>
      <w:r w:rsidR="00055C8F">
        <w:t xml:space="preserve">ing </w:t>
      </w:r>
      <w:r w:rsidR="009B4FD1">
        <w:t xml:space="preserve">a </w:t>
      </w:r>
      <w:r>
        <w:t>business and broader community perspective</w:t>
      </w:r>
      <w:r w:rsidR="00FD6C8F">
        <w:t>,</w:t>
      </w:r>
      <w:r w:rsidR="00055C8F">
        <w:t xml:space="preserve"> </w:t>
      </w:r>
      <w:r w:rsidR="00522DE9">
        <w:t xml:space="preserve">the Board is able to </w:t>
      </w:r>
      <w:r w:rsidR="00055C8F">
        <w:t>complement the roles of Treasury and the ATO</w:t>
      </w:r>
      <w:r w:rsidR="00522DE9">
        <w:t>,</w:t>
      </w:r>
      <w:r w:rsidR="00FD6C8F">
        <w:t xml:space="preserve"> </w:t>
      </w:r>
      <w:r w:rsidR="00F67BAE">
        <w:t xml:space="preserve">working to </w:t>
      </w:r>
      <w:r w:rsidR="00055C8F">
        <w:t xml:space="preserve">improve the design and operation of the tax laws for all Australians. </w:t>
      </w:r>
      <w:r>
        <w:t xml:space="preserve"> </w:t>
      </w:r>
    </w:p>
    <w:p w14:paraId="053CE229" w14:textId="67A79BA2" w:rsidR="00A13265" w:rsidRDefault="00A13265" w:rsidP="005032AC">
      <w:r>
        <w:t xml:space="preserve">It has been </w:t>
      </w:r>
      <w:r w:rsidR="00435AE8">
        <w:t xml:space="preserve">big year for the Board, both in terms of the advice provided to Government and the challenges Board members and the Secretariat have navigated in first farewelling inaugural CEO Karen Payne and then the </w:t>
      </w:r>
      <w:r w:rsidR="00F67BAE">
        <w:t xml:space="preserve">unexpected </w:t>
      </w:r>
      <w:r w:rsidR="00435AE8">
        <w:t>loss of our Chair, Michael Andrews AO. Notwithstanding these challenges the Board has continued to deliver quality advice to Government on a wide range of issues facing the tax system.</w:t>
      </w:r>
      <w:r w:rsidR="00FD6C8F">
        <w:t xml:space="preserve"> In 201</w:t>
      </w:r>
      <w:r w:rsidR="00522DE9">
        <w:t>8-</w:t>
      </w:r>
      <w:r w:rsidR="001313BA">
        <w:t>20</w:t>
      </w:r>
      <w:r w:rsidR="00522DE9">
        <w:t xml:space="preserve">19 this has included diverse issues such as: modernising the individual </w:t>
      </w:r>
      <w:r w:rsidR="005D4944">
        <w:t xml:space="preserve">tax </w:t>
      </w:r>
      <w:r w:rsidR="00522DE9">
        <w:t>residency rules</w:t>
      </w:r>
      <w:r w:rsidR="00AD161C">
        <w:t>;</w:t>
      </w:r>
      <w:r w:rsidR="00522DE9">
        <w:t xml:space="preserve"> cross government initiatives to prevent elder abuse</w:t>
      </w:r>
      <w:r w:rsidR="00AD161C">
        <w:t>;</w:t>
      </w:r>
      <w:r w:rsidR="00522DE9">
        <w:t xml:space="preserve"> </w:t>
      </w:r>
      <w:r w:rsidR="00AD161C">
        <w:t xml:space="preserve">enhancing tax transparency; the </w:t>
      </w:r>
      <w:r w:rsidR="00522DE9">
        <w:t>settings for small business</w:t>
      </w:r>
      <w:r w:rsidR="00AD161C">
        <w:t>;</w:t>
      </w:r>
      <w:r w:rsidR="00522DE9">
        <w:t xml:space="preserve"> </w:t>
      </w:r>
      <w:r w:rsidR="005032AC">
        <w:t>undertaking an</w:t>
      </w:r>
      <w:r w:rsidR="008C4260">
        <w:t xml:space="preserve"> in-depth analysis of the cost of complying with the </w:t>
      </w:r>
      <w:r w:rsidR="00AD161C">
        <w:t xml:space="preserve">fringe benefits tax </w:t>
      </w:r>
      <w:r w:rsidR="008C4260">
        <w:t xml:space="preserve">rules and recommending ways to simplify those rules </w:t>
      </w:r>
      <w:r w:rsidR="00AD161C">
        <w:t>and reduc</w:t>
      </w:r>
      <w:r w:rsidR="008C4260">
        <w:t>e</w:t>
      </w:r>
      <w:r w:rsidR="00AD161C">
        <w:t xml:space="preserve"> </w:t>
      </w:r>
      <w:r w:rsidR="00522DE9">
        <w:t xml:space="preserve">red tape. </w:t>
      </w:r>
    </w:p>
    <w:p w14:paraId="44199BED" w14:textId="298FC9E9" w:rsidR="00670E97" w:rsidRDefault="000B436A" w:rsidP="005032AC">
      <w:r>
        <w:t>Key to the quality of this advice has been the contribution of the community to the Board’s work, including through consultations on our reviews, ideas posted on Sounding Board and the discussions at our various events. We are very grateful for the</w:t>
      </w:r>
      <w:r w:rsidR="00670E97">
        <w:t xml:space="preserve"> community’s </w:t>
      </w:r>
      <w:r>
        <w:t xml:space="preserve">contribution </w:t>
      </w:r>
      <w:r w:rsidR="00670E97">
        <w:t xml:space="preserve">and have included acknowledgments throughout this report. I’d specifically like to </w:t>
      </w:r>
      <w:r w:rsidR="00BA5BDE">
        <w:t>thank</w:t>
      </w:r>
      <w:r w:rsidR="00670E97">
        <w:t>:</w:t>
      </w:r>
    </w:p>
    <w:p w14:paraId="7D620736" w14:textId="0CA63527" w:rsidR="00670E97" w:rsidRDefault="00670E97" w:rsidP="00AE7B94">
      <w:pPr>
        <w:pStyle w:val="Bullet"/>
      </w:pPr>
      <w:r>
        <w:t xml:space="preserve">the members of our working groups for </w:t>
      </w:r>
      <w:r w:rsidR="00BA5BDE">
        <w:t xml:space="preserve">volunteering </w:t>
      </w:r>
      <w:r>
        <w:t>their time and expertise</w:t>
      </w:r>
      <w:r w:rsidR="00BA5BDE">
        <w:t xml:space="preserve"> to ensure </w:t>
      </w:r>
      <w:r w:rsidR="00DE57D2">
        <w:t xml:space="preserve">that </w:t>
      </w:r>
      <w:r w:rsidR="00BA5BDE">
        <w:t xml:space="preserve">our reviews </w:t>
      </w:r>
      <w:r w:rsidR="00DE57D2">
        <w:t xml:space="preserve">provide well </w:t>
      </w:r>
      <w:r w:rsidR="00BA5BDE">
        <w:t>considered and robust advice to Government</w:t>
      </w:r>
      <w:r>
        <w:t>;</w:t>
      </w:r>
    </w:p>
    <w:p w14:paraId="4F328A40" w14:textId="74478779" w:rsidR="000B436A" w:rsidRDefault="00BA5BDE" w:rsidP="00AE7B94">
      <w:pPr>
        <w:pStyle w:val="Bullet"/>
      </w:pPr>
      <w:r>
        <w:t xml:space="preserve">the </w:t>
      </w:r>
      <w:r w:rsidR="00670E97">
        <w:t xml:space="preserve">Treasury, ATO and the private sector firms who have provided </w:t>
      </w:r>
      <w:r w:rsidR="00DE57D2">
        <w:t xml:space="preserve">staff and </w:t>
      </w:r>
      <w:proofErr w:type="spellStart"/>
      <w:r w:rsidR="00670E97">
        <w:t>secondees</w:t>
      </w:r>
      <w:proofErr w:type="spellEnd"/>
      <w:r w:rsidR="00670E97">
        <w:t xml:space="preserve"> </w:t>
      </w:r>
      <w:r w:rsidR="00DE57D2">
        <w:t xml:space="preserve">to resource our </w:t>
      </w:r>
      <w:r w:rsidR="00670E97">
        <w:t>Secretariat;</w:t>
      </w:r>
      <w:r w:rsidR="00830966">
        <w:t xml:space="preserve"> and</w:t>
      </w:r>
    </w:p>
    <w:p w14:paraId="65BA0E43" w14:textId="48E0689D" w:rsidR="00670E97" w:rsidRDefault="00D23991" w:rsidP="00AE7B94">
      <w:pPr>
        <w:pStyle w:val="Bullet"/>
      </w:pPr>
      <w:r>
        <w:t>t</w:t>
      </w:r>
      <w:r w:rsidR="00670E97">
        <w:t xml:space="preserve">he hospitality provided by </w:t>
      </w:r>
      <w:r w:rsidR="00FD6C8F">
        <w:t xml:space="preserve">EY, </w:t>
      </w:r>
      <w:r w:rsidR="00A425F2">
        <w:t>Deloitte, Grant Thornton, P</w:t>
      </w:r>
      <w:r w:rsidR="00FD6C8F">
        <w:t>w</w:t>
      </w:r>
      <w:r w:rsidR="00A425F2">
        <w:t>C</w:t>
      </w:r>
      <w:r w:rsidR="00FD6C8F">
        <w:t xml:space="preserve">, KPMG, </w:t>
      </w:r>
      <w:proofErr w:type="spellStart"/>
      <w:r w:rsidR="00FD6C8F">
        <w:t>Minter</w:t>
      </w:r>
      <w:r w:rsidR="00A425F2">
        <w:t>Ellison</w:t>
      </w:r>
      <w:proofErr w:type="spellEnd"/>
      <w:r w:rsidR="00FD6C8F">
        <w:t>,</w:t>
      </w:r>
      <w:r w:rsidR="00FD6C8F" w:rsidRPr="00FD6C8F">
        <w:t xml:space="preserve"> </w:t>
      </w:r>
      <w:r w:rsidR="00FD6C8F">
        <w:t xml:space="preserve">Chartered Accountants </w:t>
      </w:r>
      <w:r w:rsidR="00A6691F">
        <w:t>Australia &amp; New Zealand</w:t>
      </w:r>
      <w:r w:rsidR="00FD6C8F" w:rsidRPr="00FD6C8F">
        <w:t xml:space="preserve"> </w:t>
      </w:r>
      <w:r w:rsidR="00A425F2">
        <w:t xml:space="preserve">and Treasury </w:t>
      </w:r>
      <w:r w:rsidR="00F67BAE">
        <w:t>in</w:t>
      </w:r>
      <w:r w:rsidR="00830966">
        <w:t xml:space="preserve"> hosting our Board meetings </w:t>
      </w:r>
      <w:r w:rsidR="008C4260">
        <w:t xml:space="preserve">and consultations </w:t>
      </w:r>
      <w:r w:rsidR="00830966">
        <w:t>across Australia</w:t>
      </w:r>
      <w:r w:rsidR="009B4FD1">
        <w:t>.</w:t>
      </w:r>
    </w:p>
    <w:p w14:paraId="0A3FD622" w14:textId="00DC0658" w:rsidR="00830966" w:rsidRDefault="00F45B12" w:rsidP="005032AC">
      <w:r>
        <w:rPr>
          <w:noProof/>
        </w:rPr>
        <w:drawing>
          <wp:anchor distT="0" distB="0" distL="114300" distR="114300" simplePos="0" relativeHeight="251659264" behindDoc="0" locked="0" layoutInCell="1" allowOverlap="1" wp14:anchorId="6FE2B42C" wp14:editId="4DD9D460">
            <wp:simplePos x="0" y="0"/>
            <wp:positionH relativeFrom="margin">
              <wp:align>left</wp:align>
            </wp:positionH>
            <wp:positionV relativeFrom="paragraph">
              <wp:posOffset>583574</wp:posOffset>
            </wp:positionV>
            <wp:extent cx="1812098" cy="111442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2098"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3BA">
        <w:t xml:space="preserve">It has been a privilege to step into the Interim CEO role and I </w:t>
      </w:r>
      <w:r w:rsidR="00830966">
        <w:t xml:space="preserve">look forward to working with our stakeholders in the coming year. </w:t>
      </w:r>
      <w:r w:rsidR="00E0296F" w:rsidRPr="00E0296F">
        <w:t xml:space="preserve">You can keep up to date with the latest from the Board via our website or follow us on LinkedIn.  As always, we value your feedback, so please stay in touch.  </w:t>
      </w:r>
    </w:p>
    <w:p w14:paraId="13EC1CD6" w14:textId="2ACD3FCD" w:rsidR="00F45B12" w:rsidRDefault="00F45B12" w:rsidP="005032AC"/>
    <w:p w14:paraId="1F157623" w14:textId="0610E486" w:rsidR="00F45B12" w:rsidRDefault="00F45B12" w:rsidP="005032AC">
      <w:bookmarkStart w:id="4" w:name="_GoBack"/>
      <w:bookmarkEnd w:id="4"/>
    </w:p>
    <w:p w14:paraId="511B92A4" w14:textId="77777777" w:rsidR="00F45B12" w:rsidRDefault="00F45B12" w:rsidP="005032AC"/>
    <w:p w14:paraId="361ED0F2" w14:textId="1B93CB23" w:rsidR="00830966" w:rsidRDefault="00BC6DF1" w:rsidP="005032AC">
      <w:r>
        <w:t>Lynn Kelly</w:t>
      </w:r>
    </w:p>
    <w:p w14:paraId="3A1584A8" w14:textId="77777777" w:rsidR="00655168" w:rsidRDefault="009F7BBD" w:rsidP="005032AC">
      <w:r>
        <w:t>Interim</w:t>
      </w:r>
      <w:r w:rsidR="00655168">
        <w:t xml:space="preserve"> CEO — Board of Taxation</w:t>
      </w:r>
    </w:p>
    <w:p w14:paraId="668EE224" w14:textId="77777777" w:rsidR="00655168" w:rsidRDefault="00655168" w:rsidP="00655168">
      <w:pPr>
        <w:sectPr w:rsidR="00655168" w:rsidSect="002611A8">
          <w:headerReference w:type="first" r:id="rId38"/>
          <w:footerReference w:type="first" r:id="rId39"/>
          <w:pgSz w:w="11909" w:h="16834" w:code="9"/>
          <w:pgMar w:top="1701" w:right="1701" w:bottom="1701" w:left="1701" w:header="851" w:footer="851" w:gutter="0"/>
          <w:cols w:space="708"/>
          <w:titlePg/>
          <w:docGrid w:linePitch="360"/>
        </w:sectPr>
      </w:pPr>
    </w:p>
    <w:p w14:paraId="1286795D" w14:textId="77777777" w:rsidR="004E57FB" w:rsidRDefault="004E57FB" w:rsidP="005A26A3">
      <w:pPr>
        <w:pStyle w:val="Heading1"/>
      </w:pPr>
      <w:bookmarkStart w:id="5" w:name="_Toc27652692"/>
      <w:r>
        <w:lastRenderedPageBreak/>
        <w:t xml:space="preserve">The </w:t>
      </w:r>
      <w:r w:rsidRPr="005A26A3">
        <w:t>Board</w:t>
      </w:r>
      <w:bookmarkEnd w:id="5"/>
    </w:p>
    <w:p w14:paraId="4BEAA90B" w14:textId="77777777" w:rsidR="00801094" w:rsidRDefault="00801094" w:rsidP="00801094">
      <w:r>
        <w:t>The Board of Taxation (the Board) is a non</w:t>
      </w:r>
      <w:r>
        <w:noBreakHyphen/>
        <w:t>statutory advisory body charged with contributing a business and broader community perspective to improving the design of taxation laws and their operation.</w:t>
      </w:r>
    </w:p>
    <w:p w14:paraId="0463F70C" w14:textId="77777777" w:rsidR="00801094" w:rsidRDefault="00DF0FD7" w:rsidP="00801094">
      <w:r>
        <w:t>During the 2018</w:t>
      </w:r>
      <w:r>
        <w:noBreakHyphen/>
        <w:t xml:space="preserve">19 </w:t>
      </w:r>
      <w:r w:rsidR="006A3C44">
        <w:t>year,</w:t>
      </w:r>
      <w:r>
        <w:t xml:space="preserve"> t</w:t>
      </w:r>
      <w:r w:rsidR="00801094">
        <w:t xml:space="preserve">he Board </w:t>
      </w:r>
      <w:r>
        <w:t xml:space="preserve">was </w:t>
      </w:r>
      <w:r w:rsidR="00801094">
        <w:t>comprise</w:t>
      </w:r>
      <w:r>
        <w:t>d</w:t>
      </w:r>
      <w:r w:rsidR="00801094">
        <w:t xml:space="preserve"> </w:t>
      </w:r>
      <w:r>
        <w:t xml:space="preserve">of </w:t>
      </w:r>
      <w:r w:rsidR="00801094">
        <w:t xml:space="preserve">eleven members including eight private sector members including the Chair, </w:t>
      </w:r>
      <w:r>
        <w:t xml:space="preserve">the late </w:t>
      </w:r>
      <w:r w:rsidR="00801094">
        <w:t xml:space="preserve">Michael Andrew AO, who </w:t>
      </w:r>
      <w:r>
        <w:t>were</w:t>
      </w:r>
      <w:r w:rsidR="00801094">
        <w:t xml:space="preserve"> appointed by the Treasurer, and three ex</w:t>
      </w:r>
      <w:r>
        <w:noBreakHyphen/>
      </w:r>
      <w:r w:rsidR="00801094">
        <w:t xml:space="preserve">officio members </w:t>
      </w:r>
      <w:r w:rsidR="00C05AAB" w:rsidRPr="003F4392">
        <w:sym w:font="Symbol" w:char="F0BE"/>
      </w:r>
      <w:r w:rsidR="00801094">
        <w:t xml:space="preserve"> the Secretary to the Australian Treasury, the Commissioner of Taxation and the First Parliamentary Counsel. </w:t>
      </w:r>
    </w:p>
    <w:p w14:paraId="0A0937FE" w14:textId="436434C7" w:rsidR="00801094" w:rsidRDefault="00801094" w:rsidP="00801094">
      <w:r>
        <w:t xml:space="preserve">The Board is supported by a small secretariat </w:t>
      </w:r>
      <w:r w:rsidR="00C11301">
        <w:t xml:space="preserve">provided by Treasury and supplemented with </w:t>
      </w:r>
      <w:proofErr w:type="spellStart"/>
      <w:r>
        <w:t>secondees</w:t>
      </w:r>
      <w:proofErr w:type="spellEnd"/>
      <w:r>
        <w:t xml:space="preserve"> from the private sector</w:t>
      </w:r>
      <w:r w:rsidR="00C11301">
        <w:t xml:space="preserve"> and </w:t>
      </w:r>
      <w:r>
        <w:t>the ATO.</w:t>
      </w:r>
    </w:p>
    <w:p w14:paraId="1EB5BA55" w14:textId="77777777" w:rsidR="00801094" w:rsidRPr="00CD666C" w:rsidRDefault="00801094" w:rsidP="00801094">
      <w:r>
        <w:t xml:space="preserve">Its Charter, including the Board’s mission, governs the operations of the Board and functions set out below. The Charter is reproduced in full at Appendix </w:t>
      </w:r>
      <w:r w:rsidR="004E031D">
        <w:t>A</w:t>
      </w:r>
      <w:r>
        <w:t>.</w:t>
      </w:r>
    </w:p>
    <w:p w14:paraId="3CBA050D" w14:textId="77777777" w:rsidR="00DF4F95" w:rsidRDefault="00DF4F95" w:rsidP="00CE7A85">
      <w:pPr>
        <w:pStyle w:val="Heading2"/>
      </w:pPr>
      <w:bookmarkStart w:id="6" w:name="_Toc27652693"/>
      <w:r>
        <w:t>Changes to the Board</w:t>
      </w:r>
      <w:r w:rsidR="009F5FB1">
        <w:t xml:space="preserve"> membership</w:t>
      </w:r>
      <w:bookmarkEnd w:id="6"/>
    </w:p>
    <w:p w14:paraId="4760AA13" w14:textId="77777777" w:rsidR="0060590A" w:rsidRDefault="0060590A" w:rsidP="00DF4F95">
      <w:r>
        <w:t xml:space="preserve">The Board was deeply saddened by </w:t>
      </w:r>
      <w:r w:rsidR="008C24E1">
        <w:t xml:space="preserve">the passing of </w:t>
      </w:r>
      <w:r>
        <w:t xml:space="preserve">its Chair, </w:t>
      </w:r>
      <w:r w:rsidR="008C24E1">
        <w:t>Michael Andrew AO</w:t>
      </w:r>
      <w:r>
        <w:t>,</w:t>
      </w:r>
      <w:r w:rsidR="008C24E1">
        <w:t xml:space="preserve"> on 23 June 2019. </w:t>
      </w:r>
      <w:r>
        <w:t>Michael was a highly respected member of the business and tax community and made a significant contribution</w:t>
      </w:r>
      <w:r w:rsidR="008C24E1" w:rsidRPr="008C24E1">
        <w:t xml:space="preserve"> </w:t>
      </w:r>
      <w:r>
        <w:t>to improving the design of the tax system, with a focus on making it simpler and fairer for all Australians.</w:t>
      </w:r>
      <w:r w:rsidR="008C24E1">
        <w:t xml:space="preserve"> </w:t>
      </w:r>
    </w:p>
    <w:p w14:paraId="62697963" w14:textId="77777777" w:rsidR="00387A2B" w:rsidRDefault="009F5FB1" w:rsidP="00DF4F95">
      <w:r>
        <w:t xml:space="preserve">In </w:t>
      </w:r>
      <w:r w:rsidR="008A7C8F">
        <w:t>May</w:t>
      </w:r>
      <w:r>
        <w:t xml:space="preserve"> 2019 </w:t>
      </w:r>
      <w:r w:rsidR="002D4192">
        <w:t xml:space="preserve">Ms Karen Payne, member of the Board and </w:t>
      </w:r>
      <w:r w:rsidR="0060590A">
        <w:t xml:space="preserve">inaugural </w:t>
      </w:r>
      <w:r w:rsidR="002D4192">
        <w:t>CEO, departed the Board to take up the position of Inspector</w:t>
      </w:r>
      <w:r w:rsidR="002D4192">
        <w:noBreakHyphen/>
        <w:t>General of Taxation and Taxation Ombudsmen. The Board acknowledges the significant contribution Karen made to the Board during her term and as CEO.</w:t>
      </w:r>
    </w:p>
    <w:p w14:paraId="0362A6AE" w14:textId="77777777" w:rsidR="002D4192" w:rsidRPr="00DF4F95" w:rsidRDefault="002D4192" w:rsidP="00DF4F95">
      <w:r>
        <w:t xml:space="preserve">Further details on the membership of the Board are set out at Appendix </w:t>
      </w:r>
      <w:r w:rsidR="004E031D">
        <w:t>B</w:t>
      </w:r>
      <w:r>
        <w:t xml:space="preserve">. </w:t>
      </w:r>
    </w:p>
    <w:p w14:paraId="7AA12145" w14:textId="77777777" w:rsidR="004E57FB" w:rsidRDefault="004E57FB" w:rsidP="00CE7A85">
      <w:pPr>
        <w:pStyle w:val="Heading2"/>
      </w:pPr>
      <w:bookmarkStart w:id="7" w:name="_Toc27652694"/>
      <w:r>
        <w:t>The Board’s mission and function</w:t>
      </w:r>
      <w:bookmarkEnd w:id="7"/>
    </w:p>
    <w:p w14:paraId="481938D8" w14:textId="6BFF60EA" w:rsidR="00491B97" w:rsidRDefault="00655B68" w:rsidP="00491B97">
      <w:r>
        <w:t>The Board provides an independent source of advice to government, from a business and broader community perspective, on taxation matters</w:t>
      </w:r>
      <w:r w:rsidR="00871418">
        <w:t xml:space="preserve">. In doing so </w:t>
      </w:r>
      <w:r w:rsidR="00491B97">
        <w:t>the Board provide</w:t>
      </w:r>
      <w:r w:rsidR="00871418">
        <w:t>s</w:t>
      </w:r>
      <w:r w:rsidR="00491B97">
        <w:t xml:space="preserve"> advice to the Treasure</w:t>
      </w:r>
      <w:r w:rsidR="00B41E00">
        <w:t xml:space="preserve">r and </w:t>
      </w:r>
      <w:r w:rsidR="00E83DAE">
        <w:t xml:space="preserve">Minister for Housing and Assistant Treasurer </w:t>
      </w:r>
      <w:r w:rsidR="00491B97">
        <w:t>on:</w:t>
      </w:r>
    </w:p>
    <w:p w14:paraId="0AA684D9" w14:textId="77777777" w:rsidR="00491B97" w:rsidRDefault="00491B97" w:rsidP="00AE7B94">
      <w:pPr>
        <w:pStyle w:val="Bullet"/>
      </w:pPr>
      <w:r>
        <w:t xml:space="preserve">the quality and effectiveness of tax legislation and the processes for its development, including the processes of community consultation and other aspects of tax design; </w:t>
      </w:r>
    </w:p>
    <w:p w14:paraId="31432C29" w14:textId="77777777" w:rsidR="00491B97" w:rsidRDefault="00491B97" w:rsidP="00AE7B94">
      <w:pPr>
        <w:pStyle w:val="Bullet"/>
      </w:pPr>
      <w:r>
        <w:t xml:space="preserve">improvements to the general integrity and functioning of the taxation system; </w:t>
      </w:r>
    </w:p>
    <w:p w14:paraId="7901E4A0" w14:textId="77777777" w:rsidR="00491B97" w:rsidRDefault="00491B97" w:rsidP="00AE7B94">
      <w:pPr>
        <w:pStyle w:val="Bullet"/>
      </w:pPr>
      <w:r>
        <w:lastRenderedPageBreak/>
        <w:t>research and other studies commissioned by the Board on topics approved or referred by the Treasurer; and</w:t>
      </w:r>
    </w:p>
    <w:p w14:paraId="515BA708" w14:textId="79E6B39E" w:rsidR="00B63ADF" w:rsidRDefault="00491B97" w:rsidP="00AE7B94">
      <w:pPr>
        <w:pStyle w:val="Bullet"/>
      </w:pPr>
      <w:proofErr w:type="gramStart"/>
      <w:r>
        <w:t>other</w:t>
      </w:r>
      <w:proofErr w:type="gramEnd"/>
      <w:r>
        <w:t xml:space="preserve"> taxation matters referred to the Board by the Treasurer.</w:t>
      </w:r>
    </w:p>
    <w:p w14:paraId="6B207553" w14:textId="77777777" w:rsidR="00491B97" w:rsidRPr="00491B97" w:rsidRDefault="00491B97" w:rsidP="00491B97">
      <w:r>
        <w:t>Our activities during the financial year ended 30 June 2019 are described more fully in Chapter 2.</w:t>
      </w:r>
    </w:p>
    <w:p w14:paraId="5741E25E" w14:textId="77777777" w:rsidR="004E57FB" w:rsidRDefault="004E57FB" w:rsidP="00CE7A85">
      <w:pPr>
        <w:pStyle w:val="Heading2"/>
      </w:pPr>
      <w:bookmarkStart w:id="8" w:name="_Toc27652695"/>
      <w:r>
        <w:t>Stakeholder Communications and Engagement</w:t>
      </w:r>
      <w:bookmarkEnd w:id="8"/>
      <w:r>
        <w:t xml:space="preserve"> </w:t>
      </w:r>
    </w:p>
    <w:p w14:paraId="15961BAC" w14:textId="77777777" w:rsidR="005A7BDB" w:rsidRDefault="005A7BDB" w:rsidP="005A7BDB">
      <w:r>
        <w:t xml:space="preserve">The Board’s website </w:t>
      </w:r>
      <w:hyperlink r:id="rId40" w:history="1">
        <w:r w:rsidRPr="0067456B">
          <w:rPr>
            <w:rStyle w:val="Hyperlink"/>
          </w:rPr>
          <w:t>www.taxboard.gov.au</w:t>
        </w:r>
      </w:hyperlink>
      <w:r>
        <w:t xml:space="preserve"> provides general information on the Board, including its membership, the Board’s Charter, contact details, Board press releases and </w:t>
      </w:r>
      <w:r w:rsidR="001F43EF">
        <w:t xml:space="preserve">published </w:t>
      </w:r>
      <w:r>
        <w:t>Board reports to the Government.</w:t>
      </w:r>
    </w:p>
    <w:p w14:paraId="3AB06210" w14:textId="77777777" w:rsidR="0073173B" w:rsidRDefault="005A7BDB" w:rsidP="005A7BDB">
      <w:r>
        <w:t>The Board communicates with its stakeholders through various channels. The Board meets regularly with stakeholders at the time of each Board meeting to inform the Board on current and emerging taxation issues</w:t>
      </w:r>
      <w:r w:rsidR="0073173B">
        <w:t>.</w:t>
      </w:r>
    </w:p>
    <w:p w14:paraId="1BAECBB8" w14:textId="607A6FEA" w:rsidR="005A7BDB" w:rsidRDefault="0073173B" w:rsidP="005A7BDB">
      <w:r>
        <w:t xml:space="preserve">In the course of conducting </w:t>
      </w:r>
      <w:r w:rsidR="009210D6">
        <w:t xml:space="preserve">its </w:t>
      </w:r>
      <w:r>
        <w:t xml:space="preserve">reviews, the Board canvasses stakeholder views by conducting formal </w:t>
      </w:r>
      <w:r w:rsidR="00DD2975">
        <w:t xml:space="preserve">(and informal) </w:t>
      </w:r>
      <w:r>
        <w:t xml:space="preserve">consultation meetings, publishing consultation papers calling for public submissions and </w:t>
      </w:r>
      <w:r w:rsidR="00DD2975">
        <w:t>surveys.</w:t>
      </w:r>
      <w:r w:rsidR="005A7BDB">
        <w:t xml:space="preserve"> </w:t>
      </w:r>
    </w:p>
    <w:p w14:paraId="1BCA0566" w14:textId="77777777" w:rsidR="005A7BDB" w:rsidRDefault="005A7BDB" w:rsidP="005A7BDB">
      <w:r>
        <w:t xml:space="preserve">Stakeholders are informed of the Board’s activities through various electronic communications including the website, the </w:t>
      </w:r>
      <w:r w:rsidRPr="001F43EF">
        <w:rPr>
          <w:i/>
        </w:rPr>
        <w:t>CEO Update,</w:t>
      </w:r>
      <w:r>
        <w:t xml:space="preserve"> the Board’s presence on LinkedIn and other electronic means as agreed in the Board’s communication strategy. </w:t>
      </w:r>
    </w:p>
    <w:p w14:paraId="303DCC55" w14:textId="77777777" w:rsidR="005A7BDB" w:rsidRDefault="005A7BDB" w:rsidP="005A7BDB">
      <w:r>
        <w:t xml:space="preserve">The Board also invites contributions from stakeholders through the </w:t>
      </w:r>
      <w:r w:rsidRPr="001F43EF">
        <w:rPr>
          <w:i/>
        </w:rPr>
        <w:t>Sounding Board</w:t>
      </w:r>
      <w:r>
        <w:t>, which is a web based collaborative platform where users can raise, debate and prioritise business and community sector ideas on how to improve the current tax system.</w:t>
      </w:r>
    </w:p>
    <w:p w14:paraId="4DD4AE26" w14:textId="77777777" w:rsidR="001F43EF" w:rsidRDefault="001F43EF" w:rsidP="001F43EF">
      <w:pPr>
        <w:pStyle w:val="Heading1"/>
      </w:pPr>
      <w:bookmarkStart w:id="9" w:name="_Toc27652696"/>
      <w:r>
        <w:lastRenderedPageBreak/>
        <w:t>Activities of the Board in 2018</w:t>
      </w:r>
      <w:r>
        <w:noBreakHyphen/>
        <w:t>19</w:t>
      </w:r>
      <w:bookmarkEnd w:id="9"/>
    </w:p>
    <w:p w14:paraId="7329B667" w14:textId="77777777" w:rsidR="004463A5" w:rsidRDefault="004463A5" w:rsidP="004463A5">
      <w:pPr>
        <w:pStyle w:val="Heading2"/>
      </w:pPr>
      <w:bookmarkStart w:id="10" w:name="_Toc27652697"/>
      <w:r>
        <w:t>Overview</w:t>
      </w:r>
      <w:bookmarkEnd w:id="10"/>
    </w:p>
    <w:p w14:paraId="22477C04" w14:textId="4999AB8D" w:rsidR="004463A5" w:rsidRDefault="004463A5" w:rsidP="004463A5">
      <w:r>
        <w:t>During 2018</w:t>
      </w:r>
      <w:r>
        <w:noBreakHyphen/>
        <w:t>19, the Board provid</w:t>
      </w:r>
      <w:r w:rsidR="00FD4283">
        <w:t>ed</w:t>
      </w:r>
      <w:r>
        <w:t xml:space="preserve"> advice to the Government in relation to tax improvements, tax system design and other priorities for the tax system. </w:t>
      </w:r>
      <w:r w:rsidR="00FD4283">
        <w:t>The Board provided</w:t>
      </w:r>
      <w:r w:rsidR="008D73C2">
        <w:t xml:space="preserve"> this advice </w:t>
      </w:r>
      <w:r w:rsidR="00FD4283">
        <w:t xml:space="preserve">in </w:t>
      </w:r>
      <w:r w:rsidR="008D73C2">
        <w:t xml:space="preserve">a combination </w:t>
      </w:r>
      <w:r w:rsidR="009210D6">
        <w:t xml:space="preserve">of </w:t>
      </w:r>
      <w:r w:rsidR="00FD4283">
        <w:t xml:space="preserve">ways: through undertaking reviews of areas of the taxation at the request of </w:t>
      </w:r>
      <w:r w:rsidR="004F5F96">
        <w:t>g</w:t>
      </w:r>
      <w:r w:rsidR="00FD4283">
        <w:t xml:space="preserve">overnment, the provision of </w:t>
      </w:r>
      <w:r w:rsidR="008D73C2">
        <w:t>‘real time’ policy advice and on</w:t>
      </w:r>
      <w:r w:rsidR="00FD4283">
        <w:t xml:space="preserve"> our on</w:t>
      </w:r>
      <w:r w:rsidR="008D73C2">
        <w:t xml:space="preserve">-going work to improve regulation and reduce red tape. </w:t>
      </w:r>
    </w:p>
    <w:p w14:paraId="1D8EED69" w14:textId="77777777" w:rsidR="004463A5" w:rsidRDefault="004463A5" w:rsidP="004463A5">
      <w:r>
        <w:t>Key activities of the Board in 2018</w:t>
      </w:r>
      <w:r>
        <w:noBreakHyphen/>
        <w:t xml:space="preserve">19 included: </w:t>
      </w:r>
    </w:p>
    <w:p w14:paraId="0F36980F" w14:textId="77777777" w:rsidR="00FD4283" w:rsidRDefault="00FD4283" w:rsidP="004463A5">
      <w:pPr>
        <w:rPr>
          <w:i/>
        </w:rPr>
      </w:pPr>
      <w:r>
        <w:rPr>
          <w:i/>
        </w:rPr>
        <w:t xml:space="preserve">Completed reviews </w:t>
      </w:r>
      <w:r w:rsidR="00640FCD">
        <w:rPr>
          <w:i/>
        </w:rPr>
        <w:t>provided to Government</w:t>
      </w:r>
    </w:p>
    <w:p w14:paraId="50CD6A31" w14:textId="1FA9435E" w:rsidR="00D22160" w:rsidRDefault="00871418" w:rsidP="00AE7B94">
      <w:pPr>
        <w:pStyle w:val="Bullet"/>
      </w:pPr>
      <w:r w:rsidRPr="007A18A7">
        <w:t>The Board completed</w:t>
      </w:r>
      <w:r>
        <w:rPr>
          <w:b/>
        </w:rPr>
        <w:t xml:space="preserve"> </w:t>
      </w:r>
      <w:r w:rsidR="00A0126A">
        <w:rPr>
          <w:b/>
        </w:rPr>
        <w:t>three</w:t>
      </w:r>
      <w:r w:rsidR="000C5F49">
        <w:rPr>
          <w:b/>
        </w:rPr>
        <w:t xml:space="preserve"> </w:t>
      </w:r>
      <w:r>
        <w:rPr>
          <w:b/>
        </w:rPr>
        <w:t xml:space="preserve">reports </w:t>
      </w:r>
      <w:r w:rsidRPr="007A18A7">
        <w:t>as part of the Board’s work on exploring the potential to align accounting and tax</w:t>
      </w:r>
      <w:r w:rsidRPr="00871418">
        <w:rPr>
          <w:b/>
        </w:rPr>
        <w:t xml:space="preserve"> </w:t>
      </w:r>
    </w:p>
    <w:p w14:paraId="7C890B01" w14:textId="4A324DAD" w:rsidR="00F73166" w:rsidRDefault="00F73166" w:rsidP="00AE7B94">
      <w:pPr>
        <w:pStyle w:val="Bullet"/>
      </w:pPr>
      <w:r w:rsidRPr="009210D6">
        <w:rPr>
          <w:b/>
        </w:rPr>
        <w:t xml:space="preserve">Report </w:t>
      </w:r>
      <w:r w:rsidR="00091982">
        <w:t xml:space="preserve">on </w:t>
      </w:r>
      <w:r w:rsidR="009071A1">
        <w:t>the</w:t>
      </w:r>
      <w:r w:rsidR="00091982">
        <w:t xml:space="preserve"> review of </w:t>
      </w:r>
      <w:r w:rsidR="009071A1">
        <w:t xml:space="preserve">the income tax treatment of certain forms of </w:t>
      </w:r>
      <w:r w:rsidR="00091982">
        <w:t>deferred consideration</w:t>
      </w:r>
    </w:p>
    <w:p w14:paraId="30780F77" w14:textId="06DAD3EC" w:rsidR="00197D08" w:rsidRDefault="00197D08" w:rsidP="00AE7B94">
      <w:pPr>
        <w:pStyle w:val="Bullet"/>
      </w:pPr>
      <w:r>
        <w:rPr>
          <w:b/>
        </w:rPr>
        <w:t xml:space="preserve">Report </w:t>
      </w:r>
      <w:r w:rsidRPr="00197D08">
        <w:t xml:space="preserve">on </w:t>
      </w:r>
      <w:r w:rsidR="009071A1">
        <w:t xml:space="preserve">the </w:t>
      </w:r>
      <w:r w:rsidRPr="00197D08">
        <w:t>review of small business tax concessions</w:t>
      </w:r>
    </w:p>
    <w:p w14:paraId="796C5212" w14:textId="0ED3819E" w:rsidR="00B63ADF" w:rsidRPr="00197D08" w:rsidRDefault="00197D08" w:rsidP="00AE7B94">
      <w:pPr>
        <w:pStyle w:val="Bullet"/>
      </w:pPr>
      <w:r>
        <w:rPr>
          <w:b/>
        </w:rPr>
        <w:t xml:space="preserve">Report </w:t>
      </w:r>
      <w:r w:rsidRPr="00197D08">
        <w:t>on reforming individual tax residency rules – a model for modernisation</w:t>
      </w:r>
    </w:p>
    <w:p w14:paraId="60F112F9" w14:textId="77777777" w:rsidR="00A15D88" w:rsidRPr="000A4EA6" w:rsidRDefault="00A15D88" w:rsidP="000A3BE2">
      <w:r w:rsidRPr="000A4EA6">
        <w:t xml:space="preserve">Further detail on </w:t>
      </w:r>
      <w:r>
        <w:t>the Board’s completed reviews is provided below.</w:t>
      </w:r>
    </w:p>
    <w:p w14:paraId="69D59CDA" w14:textId="77777777" w:rsidR="000A3BE2" w:rsidRDefault="000A3BE2" w:rsidP="000A3BE2">
      <w:pPr>
        <w:rPr>
          <w:i/>
        </w:rPr>
      </w:pPr>
      <w:r>
        <w:rPr>
          <w:i/>
        </w:rPr>
        <w:t>Ongoing reviews</w:t>
      </w:r>
    </w:p>
    <w:p w14:paraId="42EF5826" w14:textId="77777777" w:rsidR="000A3BE2" w:rsidRDefault="000A3BE2" w:rsidP="00AE7B94">
      <w:pPr>
        <w:pStyle w:val="Bullet"/>
      </w:pPr>
      <w:r w:rsidRPr="000A3BE2">
        <w:rPr>
          <w:b/>
        </w:rPr>
        <w:t>Review</w:t>
      </w:r>
      <w:r>
        <w:t xml:space="preserve"> of the fringe benefits tax compliance costs</w:t>
      </w:r>
      <w:r w:rsidR="00640FCD">
        <w:t xml:space="preserve"> and international comparison</w:t>
      </w:r>
    </w:p>
    <w:p w14:paraId="7315746E" w14:textId="77777777" w:rsidR="000A3BE2" w:rsidRDefault="000A3BE2" w:rsidP="00AE7B94">
      <w:pPr>
        <w:pStyle w:val="Bullet"/>
      </w:pPr>
      <w:r>
        <w:rPr>
          <w:b/>
        </w:rPr>
        <w:t>Post</w:t>
      </w:r>
      <w:r>
        <w:rPr>
          <w:b/>
        </w:rPr>
        <w:noBreakHyphen/>
        <w:t xml:space="preserve">implementation review </w:t>
      </w:r>
      <w:r>
        <w:t>of the voluntary tax transpa</w:t>
      </w:r>
      <w:r w:rsidR="001E178D">
        <w:t>rency code</w:t>
      </w:r>
    </w:p>
    <w:p w14:paraId="19209CDE" w14:textId="77777777" w:rsidR="00FD3CD6" w:rsidRPr="00FD3CD6" w:rsidRDefault="00FD3CD6" w:rsidP="00AE7B94">
      <w:pPr>
        <w:pStyle w:val="Bullet"/>
      </w:pPr>
      <w:r w:rsidRPr="00FD3CD6">
        <w:rPr>
          <w:b/>
        </w:rPr>
        <w:t>Review</w:t>
      </w:r>
      <w:r>
        <w:t xml:space="preserve"> of granny flat arrangements</w:t>
      </w:r>
    </w:p>
    <w:p w14:paraId="48F199D8" w14:textId="7965D954" w:rsidR="00B63ADF" w:rsidRDefault="00C96BA8" w:rsidP="00AE7B94">
      <w:pPr>
        <w:pStyle w:val="Bullet"/>
      </w:pPr>
      <w:r w:rsidRPr="00A0126A">
        <w:rPr>
          <w:b/>
        </w:rPr>
        <w:t>Review</w:t>
      </w:r>
      <w:r>
        <w:rPr>
          <w:b/>
        </w:rPr>
        <w:t xml:space="preserve"> </w:t>
      </w:r>
      <w:r>
        <w:t xml:space="preserve">of the </w:t>
      </w:r>
      <w:r w:rsidRPr="00C96BA8">
        <w:t>current tax settings for not-for-profit sector of Australia</w:t>
      </w:r>
    </w:p>
    <w:p w14:paraId="03EFFC89" w14:textId="77777777" w:rsidR="00A15D88" w:rsidRPr="00805BD8" w:rsidRDefault="00A15D88" w:rsidP="00640FCD">
      <w:r w:rsidRPr="00AA4B71">
        <w:t xml:space="preserve">Further detail on </w:t>
      </w:r>
      <w:r>
        <w:t>the Board’s ongoing reviews is provided below.</w:t>
      </w:r>
    </w:p>
    <w:p w14:paraId="28B7CD64" w14:textId="77777777" w:rsidR="00640FCD" w:rsidRDefault="00640FCD" w:rsidP="00640FCD">
      <w:pPr>
        <w:rPr>
          <w:i/>
        </w:rPr>
      </w:pPr>
      <w:r>
        <w:rPr>
          <w:i/>
        </w:rPr>
        <w:t>‘Real</w:t>
      </w:r>
      <w:r>
        <w:rPr>
          <w:i/>
        </w:rPr>
        <w:noBreakHyphen/>
        <w:t>time’ policy advice</w:t>
      </w:r>
    </w:p>
    <w:p w14:paraId="2E4F42F5" w14:textId="77777777" w:rsidR="00640FCD" w:rsidRDefault="00640FCD" w:rsidP="00AE7B94">
      <w:pPr>
        <w:pStyle w:val="Bullet"/>
      </w:pPr>
      <w:r w:rsidRPr="00F73166">
        <w:rPr>
          <w:b/>
        </w:rPr>
        <w:t>Submission</w:t>
      </w:r>
      <w:r w:rsidRPr="00F73166">
        <w:t xml:space="preserve"> of tax ideas for consideration as part of the 201</w:t>
      </w:r>
      <w:r>
        <w:t>9</w:t>
      </w:r>
      <w:r>
        <w:noBreakHyphen/>
        <w:t>20</w:t>
      </w:r>
      <w:r w:rsidRPr="00F73166">
        <w:t xml:space="preserve"> Budget process</w:t>
      </w:r>
    </w:p>
    <w:p w14:paraId="31C86B60" w14:textId="77777777" w:rsidR="00640FCD" w:rsidRDefault="00640FCD" w:rsidP="00AE7B94">
      <w:pPr>
        <w:pStyle w:val="Bullet"/>
      </w:pPr>
      <w:r>
        <w:rPr>
          <w:b/>
        </w:rPr>
        <w:t xml:space="preserve">Feedback </w:t>
      </w:r>
      <w:r>
        <w:t>on tax and agriculture issues following approaches by participants in the agriculture sector</w:t>
      </w:r>
    </w:p>
    <w:p w14:paraId="70BE4665" w14:textId="77777777" w:rsidR="00A6691F" w:rsidRPr="00A6691F" w:rsidRDefault="00640FCD" w:rsidP="00D23991">
      <w:pPr>
        <w:pStyle w:val="Bullet"/>
        <w:rPr>
          <w:i/>
        </w:rPr>
      </w:pPr>
      <w:r w:rsidRPr="00A6691F">
        <w:rPr>
          <w:b/>
        </w:rPr>
        <w:lastRenderedPageBreak/>
        <w:t xml:space="preserve">Ongoing assistance </w:t>
      </w:r>
      <w:r>
        <w:t>to Treasury and Government on a range of tax policy matters</w:t>
      </w:r>
      <w:r w:rsidR="00A6691F">
        <w:t>.</w:t>
      </w:r>
    </w:p>
    <w:p w14:paraId="5E6D4E63" w14:textId="37A28467" w:rsidR="001E178D" w:rsidRPr="00A6691F" w:rsidRDefault="00C96BA8" w:rsidP="00A6691F">
      <w:pPr>
        <w:rPr>
          <w:i/>
        </w:rPr>
      </w:pPr>
      <w:r w:rsidRPr="00A6691F">
        <w:rPr>
          <w:i/>
        </w:rPr>
        <w:t>Other work</w:t>
      </w:r>
    </w:p>
    <w:p w14:paraId="22651CBC" w14:textId="77777777" w:rsidR="00C96BA8" w:rsidRDefault="00C96BA8" w:rsidP="00AE7B94">
      <w:pPr>
        <w:pStyle w:val="Bullet"/>
      </w:pPr>
      <w:r w:rsidRPr="00C96BA8">
        <w:rPr>
          <w:b/>
        </w:rPr>
        <w:t>Analysing</w:t>
      </w:r>
      <w:r>
        <w:t xml:space="preserve"> the ideas generated by the sounding board platform and making recommendations for tax system </w:t>
      </w:r>
    </w:p>
    <w:p w14:paraId="1C0C19F0" w14:textId="77777777" w:rsidR="00C96BA8" w:rsidRDefault="00C96BA8" w:rsidP="00AE7B94">
      <w:pPr>
        <w:pStyle w:val="Bullet"/>
      </w:pPr>
      <w:r w:rsidRPr="00C96BA8">
        <w:rPr>
          <w:b/>
        </w:rPr>
        <w:t>Performing</w:t>
      </w:r>
      <w:r>
        <w:t xml:space="preserve"> the Ministerial Advisory Council (MAC) advisory role </w:t>
      </w:r>
    </w:p>
    <w:p w14:paraId="174BC429" w14:textId="77777777" w:rsidR="00C96BA8" w:rsidRDefault="00C96BA8" w:rsidP="00AE7B94">
      <w:pPr>
        <w:pStyle w:val="Bullet"/>
      </w:pPr>
      <w:r w:rsidRPr="00C96BA8">
        <w:rPr>
          <w:b/>
        </w:rPr>
        <w:t>Reporting</w:t>
      </w:r>
      <w:r>
        <w:t xml:space="preserve"> role in relation to the ATO as part of the Government's Regulator Performance Framework</w:t>
      </w:r>
    </w:p>
    <w:p w14:paraId="50B126AB" w14:textId="77777777" w:rsidR="002C22AE" w:rsidRDefault="002C22AE" w:rsidP="00AE7B94">
      <w:pPr>
        <w:pStyle w:val="Bullet"/>
      </w:pPr>
      <w:r w:rsidRPr="002C22AE">
        <w:rPr>
          <w:b/>
        </w:rPr>
        <w:t>Monitoring</w:t>
      </w:r>
      <w:r>
        <w:t xml:space="preserve"> international developments on the taxation of the digital economy</w:t>
      </w:r>
    </w:p>
    <w:p w14:paraId="37255CCB" w14:textId="77777777" w:rsidR="00726340" w:rsidRDefault="00726340" w:rsidP="00726340">
      <w:pPr>
        <w:pStyle w:val="Heading2"/>
      </w:pPr>
      <w:bookmarkStart w:id="11" w:name="_Toc27652698"/>
      <w:r>
        <w:t>Completed projects</w:t>
      </w:r>
      <w:bookmarkEnd w:id="11"/>
    </w:p>
    <w:p w14:paraId="2F659616" w14:textId="77777777" w:rsidR="00726340" w:rsidRDefault="00726340" w:rsidP="00726340">
      <w:r w:rsidRPr="00726340">
        <w:t>During the 201</w:t>
      </w:r>
      <w:r>
        <w:t>8</w:t>
      </w:r>
      <w:r>
        <w:noBreakHyphen/>
        <w:t>19</w:t>
      </w:r>
      <w:r w:rsidRPr="00726340">
        <w:t xml:space="preserve"> year, the Board finalised several reports, advice and submissions, as set out below.  The Board generally conducts its projects by appointing working groups (refer to Appendix C for details).</w:t>
      </w:r>
    </w:p>
    <w:p w14:paraId="673BA8A0" w14:textId="77777777" w:rsidR="00726340" w:rsidRDefault="00726340" w:rsidP="00726340">
      <w:pPr>
        <w:pStyle w:val="Heading3"/>
      </w:pPr>
      <w:r>
        <w:t xml:space="preserve">Reports </w:t>
      </w:r>
      <w:r w:rsidRPr="00726340">
        <w:t>on exploring the potential to align accounting and tax systems in Australia</w:t>
      </w:r>
    </w:p>
    <w:p w14:paraId="76C0EBC5" w14:textId="242A387D" w:rsidR="0054354A" w:rsidRDefault="0054354A" w:rsidP="0054354A">
      <w:r>
        <w:t>Th</w:t>
      </w:r>
      <w:r w:rsidR="00E60BDF">
        <w:t xml:space="preserve">is </w:t>
      </w:r>
      <w:r>
        <w:t>project consider</w:t>
      </w:r>
      <w:r w:rsidR="00E60BDF">
        <w:t>ed</w:t>
      </w:r>
      <w:r>
        <w:t xml:space="preserve"> potential areas for greater alignment between tax and accounting treatments</w:t>
      </w:r>
      <w:r w:rsidR="00E60BDF">
        <w:t xml:space="preserve"> with a view to </w:t>
      </w:r>
      <w:r>
        <w:t>reduc</w:t>
      </w:r>
      <w:r w:rsidR="00E60BDF">
        <w:t>ing</w:t>
      </w:r>
      <w:r>
        <w:t xml:space="preserve"> the compliance and administrative burden on taxpayers </w:t>
      </w:r>
      <w:r w:rsidR="00E60BDF">
        <w:t xml:space="preserve">who </w:t>
      </w:r>
      <w:r>
        <w:t>produce financial statements.</w:t>
      </w:r>
    </w:p>
    <w:p w14:paraId="6221E91D" w14:textId="77777777" w:rsidR="007D1419" w:rsidRDefault="007D1419" w:rsidP="0054354A">
      <w:r w:rsidRPr="007D1419">
        <w:t>Th</w:t>
      </w:r>
      <w:r>
        <w:t xml:space="preserve">e Board appointed a working group, led by Board member Craig </w:t>
      </w:r>
      <w:proofErr w:type="spellStart"/>
      <w:r>
        <w:t>Yaxley</w:t>
      </w:r>
      <w:proofErr w:type="spellEnd"/>
      <w:r>
        <w:t>, with assistance from Board member Ann</w:t>
      </w:r>
      <w:r>
        <w:noBreakHyphen/>
        <w:t>Maree Wolff. In progressing this work, the working group undertook consultation with business, professional and community stakeholders</w:t>
      </w:r>
      <w:r w:rsidR="006E0213">
        <w:t xml:space="preserve">; including the </w:t>
      </w:r>
      <w:r w:rsidRPr="007D1419">
        <w:t>Australian Accounting Standards Board, Australian Tax Office</w:t>
      </w:r>
      <w:r w:rsidR="006E0213">
        <w:t>,</w:t>
      </w:r>
      <w:r w:rsidRPr="007D1419">
        <w:t xml:space="preserve"> the Treasury</w:t>
      </w:r>
      <w:r w:rsidR="006E0213">
        <w:t xml:space="preserve"> and the New Zealand Inland Revenue Department</w:t>
      </w:r>
      <w:r w:rsidRPr="007D1419">
        <w:t>.</w:t>
      </w:r>
    </w:p>
    <w:p w14:paraId="49F8E3D0" w14:textId="77777777" w:rsidR="006E0213" w:rsidRDefault="0054354A" w:rsidP="0054354A">
      <w:r>
        <w:t xml:space="preserve">The Board </w:t>
      </w:r>
      <w:r w:rsidR="006E0213">
        <w:t xml:space="preserve">completed a series of </w:t>
      </w:r>
      <w:r>
        <w:t>reports as part of this project</w:t>
      </w:r>
      <w:r w:rsidR="006E0213">
        <w:t>:</w:t>
      </w:r>
    </w:p>
    <w:p w14:paraId="6C487A14" w14:textId="77777777" w:rsidR="0054354A" w:rsidRDefault="006E0213" w:rsidP="00AE7B94">
      <w:pPr>
        <w:pStyle w:val="Bullet"/>
      </w:pPr>
      <w:r>
        <w:t xml:space="preserve">The following reports were </w:t>
      </w:r>
      <w:r w:rsidR="0054354A">
        <w:t>published in October 2018:</w:t>
      </w:r>
    </w:p>
    <w:p w14:paraId="3380311A" w14:textId="77777777" w:rsidR="0054354A" w:rsidRDefault="0054354A" w:rsidP="006E0213">
      <w:pPr>
        <w:pStyle w:val="Dash"/>
      </w:pPr>
      <w:r>
        <w:t>Exploring the potential to align accounting and tax systems in Australia</w:t>
      </w:r>
    </w:p>
    <w:p w14:paraId="57E87235" w14:textId="77777777" w:rsidR="0054354A" w:rsidRDefault="0054354A" w:rsidP="006E0213">
      <w:pPr>
        <w:pStyle w:val="Dash"/>
      </w:pPr>
      <w:r>
        <w:t>Tax Treatment of Trading Stock and Acco</w:t>
      </w:r>
      <w:r w:rsidR="006E0213">
        <w:t>unting Treatment of Inventories</w:t>
      </w:r>
    </w:p>
    <w:p w14:paraId="0B724B33" w14:textId="2429F673" w:rsidR="006E0213" w:rsidRDefault="00A0126A" w:rsidP="00AE7B94">
      <w:pPr>
        <w:pStyle w:val="Bullet"/>
      </w:pPr>
      <w:r>
        <w:t xml:space="preserve">The third report </w:t>
      </w:r>
      <w:r w:rsidR="0091119A">
        <w:t xml:space="preserve">considered </w:t>
      </w:r>
      <w:r w:rsidR="0091119A" w:rsidRPr="0091119A">
        <w:t xml:space="preserve">allowing small businesses to calculate PAYG instalments based on accounting income. </w:t>
      </w:r>
      <w:r w:rsidR="006E0213">
        <w:t xml:space="preserve">This report was referred to the Board’s working group for consideration </w:t>
      </w:r>
      <w:r w:rsidR="0064316F">
        <w:t>as part of the review of small business tax concessions.</w:t>
      </w:r>
    </w:p>
    <w:p w14:paraId="3ABBA53D" w14:textId="6F789AA9" w:rsidR="00726340" w:rsidRDefault="00726340" w:rsidP="00726340">
      <w:pPr>
        <w:pStyle w:val="Heading3"/>
      </w:pPr>
      <w:r w:rsidRPr="00726340">
        <w:lastRenderedPageBreak/>
        <w:t xml:space="preserve">Report on </w:t>
      </w:r>
      <w:r w:rsidR="00277FD1">
        <w:t xml:space="preserve">the review of the income tax treatment of certain </w:t>
      </w:r>
      <w:r w:rsidR="009B04BB">
        <w:t xml:space="preserve">forms </w:t>
      </w:r>
      <w:r w:rsidR="009B04BB" w:rsidRPr="00726340">
        <w:t>of</w:t>
      </w:r>
      <w:r w:rsidRPr="00726340">
        <w:t xml:space="preserve"> deferred consideration </w:t>
      </w:r>
    </w:p>
    <w:p w14:paraId="4BBEFA76" w14:textId="7D2BD13D" w:rsidR="00D64F5E" w:rsidRDefault="009A73BF" w:rsidP="00726340">
      <w:r>
        <w:t>During</w:t>
      </w:r>
      <w:r w:rsidR="000C0901">
        <w:t xml:space="preserve"> </w:t>
      </w:r>
      <w:r>
        <w:t>20</w:t>
      </w:r>
      <w:r w:rsidR="000C0901">
        <w:t>17</w:t>
      </w:r>
      <w:r w:rsidR="000C0901">
        <w:noBreakHyphen/>
        <w:t>18</w:t>
      </w:r>
      <w:r>
        <w:t xml:space="preserve">, the Board </w:t>
      </w:r>
      <w:r w:rsidR="00D64F5E">
        <w:t xml:space="preserve">commenced a review of the </w:t>
      </w:r>
      <w:r w:rsidR="00847BD9">
        <w:t xml:space="preserve">income tax treatment of certain forms of </w:t>
      </w:r>
      <w:r w:rsidR="00D64F5E">
        <w:t>deferred consideration</w:t>
      </w:r>
      <w:r w:rsidR="00847BD9">
        <w:t>.</w:t>
      </w:r>
      <w:r w:rsidR="00D64F5E">
        <w:t xml:space="preserve"> The Board’s work involved two broad areas:</w:t>
      </w:r>
    </w:p>
    <w:p w14:paraId="789B70E2" w14:textId="78776FC4" w:rsidR="00E05A36" w:rsidRDefault="00D64F5E" w:rsidP="00AE7B94">
      <w:pPr>
        <w:pStyle w:val="Bullet"/>
      </w:pPr>
      <w:r>
        <w:t>A post</w:t>
      </w:r>
      <w:r>
        <w:noBreakHyphen/>
        <w:t xml:space="preserve">implementation review of the operation </w:t>
      </w:r>
      <w:r w:rsidR="000C5F49">
        <w:t xml:space="preserve">of the </w:t>
      </w:r>
      <w:r>
        <w:t>capital gains tax look</w:t>
      </w:r>
      <w:r>
        <w:noBreakHyphen/>
        <w:t xml:space="preserve">through provisions for eligible </w:t>
      </w:r>
      <w:proofErr w:type="spellStart"/>
      <w:r>
        <w:t>earnout</w:t>
      </w:r>
      <w:proofErr w:type="spellEnd"/>
      <w:r>
        <w:t xml:space="preserve"> arrangements</w:t>
      </w:r>
      <w:r w:rsidR="000E5A82">
        <w:t xml:space="preserve"> contained </w:t>
      </w:r>
      <w:r w:rsidR="00E05A36">
        <w:t>in subdivision 118</w:t>
      </w:r>
      <w:r w:rsidR="00E05A36">
        <w:noBreakHyphen/>
        <w:t xml:space="preserve">1 of part 3 of Chapter 3 of the ITAA 1997 </w:t>
      </w:r>
      <w:r w:rsidR="000E5A82">
        <w:t>(the ‘</w:t>
      </w:r>
      <w:proofErr w:type="spellStart"/>
      <w:r w:rsidR="000E5A82">
        <w:t>earnout</w:t>
      </w:r>
      <w:proofErr w:type="spellEnd"/>
      <w:r w:rsidR="000E5A82">
        <w:t xml:space="preserve"> rules’)</w:t>
      </w:r>
      <w:r w:rsidR="00E05A36">
        <w:t>.</w:t>
      </w:r>
    </w:p>
    <w:p w14:paraId="1C36A19F" w14:textId="61C4EA50" w:rsidR="00B63ADF" w:rsidRDefault="000C5F49" w:rsidP="00AE7B94">
      <w:pPr>
        <w:pStyle w:val="Bullet"/>
      </w:pPr>
      <w:r>
        <w:t xml:space="preserve">A consideration of the tax consequences </w:t>
      </w:r>
      <w:r w:rsidR="00E05A36">
        <w:t xml:space="preserve">of deferred consideration arrangements that fall outside the scope of the </w:t>
      </w:r>
      <w:proofErr w:type="spellStart"/>
      <w:r w:rsidR="00E05A36">
        <w:t>earnout</w:t>
      </w:r>
      <w:proofErr w:type="spellEnd"/>
      <w:r w:rsidR="00E05A36">
        <w:t xml:space="preserve"> rules.</w:t>
      </w:r>
    </w:p>
    <w:p w14:paraId="713BD5C5" w14:textId="77777777" w:rsidR="00726340" w:rsidRDefault="00E05A36" w:rsidP="00E05A36">
      <w:r>
        <w:t>The Board appointed a working group, led by Board member, Ann</w:t>
      </w:r>
      <w:r>
        <w:noBreakHyphen/>
        <w:t xml:space="preserve">Maree Wolff, with assistance from Board members, Craig </w:t>
      </w:r>
      <w:proofErr w:type="spellStart"/>
      <w:r>
        <w:t>Yaxley</w:t>
      </w:r>
      <w:proofErr w:type="spellEnd"/>
      <w:r>
        <w:t xml:space="preserve"> and Dr Mark </w:t>
      </w:r>
      <w:proofErr w:type="spellStart"/>
      <w:r>
        <w:t>Pizzacalla</w:t>
      </w:r>
      <w:proofErr w:type="spellEnd"/>
      <w:r>
        <w:t>.</w:t>
      </w:r>
      <w:r w:rsidR="00D64F5E">
        <w:t xml:space="preserve"> </w:t>
      </w:r>
      <w:r w:rsidR="00EA10F4">
        <w:t xml:space="preserve">In addition, the working group comprised of </w:t>
      </w:r>
      <w:r w:rsidR="00EA10F4" w:rsidRPr="00EA10F4">
        <w:t xml:space="preserve">members of the Board’s Advisory Panel, namely, Mr Hayden Scott (PwC), Mr Anthony </w:t>
      </w:r>
      <w:proofErr w:type="spellStart"/>
      <w:r w:rsidR="00EA10F4" w:rsidRPr="00EA10F4">
        <w:t>Portas</w:t>
      </w:r>
      <w:proofErr w:type="spellEnd"/>
      <w:r w:rsidR="00EA10F4" w:rsidRPr="00EA10F4">
        <w:t xml:space="preserve"> (Minter Ellison), Mr Andrew </w:t>
      </w:r>
      <w:proofErr w:type="spellStart"/>
      <w:r w:rsidR="00EA10F4" w:rsidRPr="00EA10F4">
        <w:t>Noolan</w:t>
      </w:r>
      <w:proofErr w:type="spellEnd"/>
      <w:r w:rsidR="00EA10F4" w:rsidRPr="00EA10F4">
        <w:t xml:space="preserve"> (Brown Wright Stein Lawyers), Mr Andrew Van </w:t>
      </w:r>
      <w:proofErr w:type="spellStart"/>
      <w:r w:rsidR="00EA10F4" w:rsidRPr="00EA10F4">
        <w:t>Dinter</w:t>
      </w:r>
      <w:proofErr w:type="spellEnd"/>
      <w:r w:rsidR="00EA10F4" w:rsidRPr="00EA10F4">
        <w:t xml:space="preserve"> (E</w:t>
      </w:r>
      <w:r w:rsidR="006128AA">
        <w:t>Y</w:t>
      </w:r>
      <w:r w:rsidR="00EA10F4" w:rsidRPr="00EA10F4">
        <w:t>) and Mr Cameron Rider (Greenwoods &amp; Herbert Smith Freehills Pty Limited), as well as officials from the Department of the Treasury and the Australian Taxation Office (ATO).</w:t>
      </w:r>
    </w:p>
    <w:p w14:paraId="1F84E4F9" w14:textId="77777777" w:rsidR="00EA10F4" w:rsidRDefault="009E5B90" w:rsidP="00E05A36">
      <w:r>
        <w:t xml:space="preserve">The </w:t>
      </w:r>
      <w:r w:rsidR="00354E9D">
        <w:t>Board</w:t>
      </w:r>
      <w:r w:rsidR="00EA10F4" w:rsidRPr="00EA10F4">
        <w:t xml:space="preserve"> conducted several open, round-table consultation sessions and a number of targeted consultations to seek stakeholder feedback during the course of the review.</w:t>
      </w:r>
      <w:r w:rsidR="00DA2E18">
        <w:t xml:space="preserve"> The r</w:t>
      </w:r>
      <w:r w:rsidR="00735A8E">
        <w:t>ound</w:t>
      </w:r>
      <w:r w:rsidR="00735A8E">
        <w:noBreakHyphen/>
        <w:t xml:space="preserve">table consultation meetings were </w:t>
      </w:r>
      <w:r w:rsidR="00104E97">
        <w:t>held</w:t>
      </w:r>
      <w:r w:rsidR="00735A8E">
        <w:t xml:space="preserve"> in Brisbane, Melbourne</w:t>
      </w:r>
      <w:r w:rsidR="00DA2E18">
        <w:t>,</w:t>
      </w:r>
      <w:r w:rsidR="00735A8E">
        <w:t xml:space="preserve"> Perth</w:t>
      </w:r>
      <w:r w:rsidR="00DA2E18">
        <w:t xml:space="preserve"> and Sydney.</w:t>
      </w:r>
    </w:p>
    <w:p w14:paraId="4850E86B" w14:textId="72FF9D4C" w:rsidR="00EA10F4" w:rsidRPr="00726340" w:rsidRDefault="00847BD9" w:rsidP="00E05A36">
      <w:r>
        <w:t xml:space="preserve">This report was published on </w:t>
      </w:r>
      <w:r w:rsidR="008A2360">
        <w:t>12</w:t>
      </w:r>
      <w:r>
        <w:t xml:space="preserve"> December 2019.</w:t>
      </w:r>
    </w:p>
    <w:p w14:paraId="62F1210B" w14:textId="77777777" w:rsidR="00726340" w:rsidRDefault="00710F1D" w:rsidP="00726340">
      <w:pPr>
        <w:pStyle w:val="Heading3"/>
      </w:pPr>
      <w:r>
        <w:t xml:space="preserve">Report </w:t>
      </w:r>
      <w:r w:rsidRPr="00710F1D">
        <w:t xml:space="preserve">on </w:t>
      </w:r>
      <w:r>
        <w:t xml:space="preserve">a </w:t>
      </w:r>
      <w:r w:rsidRPr="00710F1D">
        <w:t>review of small business tax concess</w:t>
      </w:r>
      <w:r>
        <w:t>ions</w:t>
      </w:r>
    </w:p>
    <w:p w14:paraId="578D8A79" w14:textId="245DD2C2" w:rsidR="00EB5086" w:rsidRDefault="00EB5086" w:rsidP="00EB5086">
      <w:r>
        <w:t xml:space="preserve">The Board undertook a holistic review of small business tax concessions to identify ways to improve existing concessions to ensure they remain effective, easily accessible, and well-targeted, as well as identifying new concessionary approaches. It also </w:t>
      </w:r>
      <w:r w:rsidR="009C0F07">
        <w:t xml:space="preserve">considered </w:t>
      </w:r>
      <w:r>
        <w:t xml:space="preserve">opportunities </w:t>
      </w:r>
      <w:r w:rsidR="009C0F07">
        <w:t xml:space="preserve">to </w:t>
      </w:r>
      <w:r>
        <w:t>remov</w:t>
      </w:r>
      <w:r w:rsidR="009C0F07">
        <w:t>e</w:t>
      </w:r>
      <w:r>
        <w:t xml:space="preserve"> or scal</w:t>
      </w:r>
      <w:r w:rsidR="009C0F07">
        <w:t xml:space="preserve">e </w:t>
      </w:r>
      <w:r>
        <w:t xml:space="preserve">back concessions that are not working well </w:t>
      </w:r>
      <w:r w:rsidR="00C77E1B">
        <w:t xml:space="preserve">so as </w:t>
      </w:r>
      <w:r>
        <w:t xml:space="preserve">to generate savings that could be redeployed in areas </w:t>
      </w:r>
      <w:r w:rsidR="00C77E1B">
        <w:t xml:space="preserve">with a </w:t>
      </w:r>
      <w:r>
        <w:t xml:space="preserve">greater impact. </w:t>
      </w:r>
    </w:p>
    <w:p w14:paraId="6C0617E0" w14:textId="77777777" w:rsidR="003F759C" w:rsidRDefault="00EB5086" w:rsidP="003F759C">
      <w:r>
        <w:t>The Board appointed a working group</w:t>
      </w:r>
      <w:r w:rsidR="009E5B90">
        <w:t xml:space="preserve">, led by Board member Dr Mark </w:t>
      </w:r>
      <w:proofErr w:type="spellStart"/>
      <w:r w:rsidR="006A3C44">
        <w:t>Pizzacalla</w:t>
      </w:r>
      <w:proofErr w:type="spellEnd"/>
      <w:r w:rsidR="006A3C44">
        <w:t>, with</w:t>
      </w:r>
      <w:r w:rsidR="009E5B90">
        <w:t xml:space="preserve"> assistance from Board member, </w:t>
      </w:r>
      <w:r>
        <w:t xml:space="preserve">Peter Quiggin, PSM. </w:t>
      </w:r>
      <w:r w:rsidR="009E5B90">
        <w:t>Former Board member and CEO,</w:t>
      </w:r>
      <w:r>
        <w:t xml:space="preserve"> Karen Payne, also </w:t>
      </w:r>
      <w:r w:rsidR="009E5B90">
        <w:t xml:space="preserve">assisted the working group. In addition, </w:t>
      </w:r>
      <w:r w:rsidR="003F759C">
        <w:t>the working group was assisted by a reference group comprising Michael Carruthers (Tax Director, Knowledge Shop), Professor Chris Evans (School of Taxation and Business Law, University of New South Wales), Susan Franks (Senior Tax Advocate, Chartered Accountants Australia and New Zealand), Dr Brett Freudenberg (Professor, Griffith Business School, Griffith University), Tony Greco, (Senior Director, Institute of Public Accountants), Michael Parker (Partner, Hall and Wilcox Lawyers), Shannon Smit</w:t>
      </w:r>
      <w:r w:rsidR="00354E9D">
        <w:t xml:space="preserve"> </w:t>
      </w:r>
      <w:r w:rsidR="003F759C">
        <w:t xml:space="preserve">(Director, SMART Business Solutions), and Chris </w:t>
      </w:r>
      <w:proofErr w:type="spellStart"/>
      <w:r w:rsidR="003F759C">
        <w:t>Wookey</w:t>
      </w:r>
      <w:proofErr w:type="spellEnd"/>
      <w:r w:rsidR="003F759C">
        <w:t xml:space="preserve"> (Principal, Deloitte Private).</w:t>
      </w:r>
    </w:p>
    <w:p w14:paraId="337FA625" w14:textId="64DEAD3B" w:rsidR="00A06480" w:rsidRDefault="00A06480" w:rsidP="00EB5086">
      <w:r w:rsidRPr="00A06480">
        <w:lastRenderedPageBreak/>
        <w:t xml:space="preserve">The Board conducted several open, round-table consultation sessions and a number of targeted consultations to seek stakeholder feedback during the course of the review. The round table consultation meetings were held in </w:t>
      </w:r>
      <w:r>
        <w:t xml:space="preserve">Adelaide, </w:t>
      </w:r>
      <w:r w:rsidRPr="00A06480">
        <w:t>Melbourne, Perth and Sydney.</w:t>
      </w:r>
      <w:r>
        <w:t xml:space="preserve"> The Board also released a consultation guide calling for public submissions.</w:t>
      </w:r>
    </w:p>
    <w:p w14:paraId="542D5070" w14:textId="4D4B8A73" w:rsidR="00710F1D" w:rsidRDefault="00A06480" w:rsidP="00710F1D">
      <w:r w:rsidRPr="00A06480">
        <w:t xml:space="preserve">This report was published on </w:t>
      </w:r>
      <w:r w:rsidR="008A2360">
        <w:t>12</w:t>
      </w:r>
      <w:r w:rsidRPr="00A06480">
        <w:t xml:space="preserve"> December 2019</w:t>
      </w:r>
      <w:r>
        <w:t>.</w:t>
      </w:r>
    </w:p>
    <w:p w14:paraId="6973A9FC" w14:textId="77777777" w:rsidR="00710F1D" w:rsidRDefault="00710F1D" w:rsidP="00710F1D">
      <w:pPr>
        <w:pStyle w:val="Heading3"/>
      </w:pPr>
      <w:r>
        <w:t xml:space="preserve">Report </w:t>
      </w:r>
      <w:r w:rsidRPr="00710F1D">
        <w:t>on reforming individual tax residency rules – a model for modernisa</w:t>
      </w:r>
      <w:r>
        <w:t>tion</w:t>
      </w:r>
    </w:p>
    <w:p w14:paraId="154D0576" w14:textId="188CEE9F" w:rsidR="0070476A" w:rsidRDefault="00F8433F" w:rsidP="00D6520E">
      <w:r>
        <w:t xml:space="preserve">Following the Board’s 2017 report on the income tax residency rules for individuals, the </w:t>
      </w:r>
      <w:r w:rsidR="00130D51">
        <w:t xml:space="preserve">then Minister for Revenue and Financial </w:t>
      </w:r>
      <w:r w:rsidR="00BD78CD">
        <w:t>S</w:t>
      </w:r>
      <w:r w:rsidR="00130D51">
        <w:t xml:space="preserve">ervices </w:t>
      </w:r>
      <w:r w:rsidR="00BD78CD">
        <w:t>wrote to the Board on 7 May 2018 to ask the Board to undertake further consultations</w:t>
      </w:r>
      <w:r w:rsidR="004A3322">
        <w:t xml:space="preserve">. </w:t>
      </w:r>
    </w:p>
    <w:p w14:paraId="55CB94A6" w14:textId="130C0020" w:rsidR="00D6520E" w:rsidRDefault="004A3322" w:rsidP="007A18A7">
      <w:r w:rsidRPr="004A3322">
        <w:t xml:space="preserve">The </w:t>
      </w:r>
      <w:r w:rsidR="00827742">
        <w:t>Board’s work involved further consideration of the residency rules of other countries</w:t>
      </w:r>
      <w:r w:rsidR="00F355CE">
        <w:t xml:space="preserve"> and consultation on a new framework test. Further details on the Board’s terms of reference for the review are available on the Board’s website.</w:t>
      </w:r>
    </w:p>
    <w:p w14:paraId="7E1295D1" w14:textId="5C863539" w:rsidR="00BD78CD" w:rsidRDefault="004A3322" w:rsidP="00D6520E">
      <w:r w:rsidRPr="004A3322">
        <w:t xml:space="preserve">The Board </w:t>
      </w:r>
      <w:r w:rsidR="00F355CE">
        <w:t xml:space="preserve">appointed </w:t>
      </w:r>
      <w:r>
        <w:t xml:space="preserve">a new </w:t>
      </w:r>
      <w:r w:rsidRPr="004A3322">
        <w:t xml:space="preserve">working group, led by Board member, </w:t>
      </w:r>
      <w:proofErr w:type="spellStart"/>
      <w:r>
        <w:t>Rosheen</w:t>
      </w:r>
      <w:proofErr w:type="spellEnd"/>
      <w:r>
        <w:t xml:space="preserve"> Garnon</w:t>
      </w:r>
      <w:r w:rsidRPr="004A3322">
        <w:t xml:space="preserve">, with assistance from Board members, Craig </w:t>
      </w:r>
      <w:proofErr w:type="spellStart"/>
      <w:r w:rsidRPr="004A3322">
        <w:t>Yaxley</w:t>
      </w:r>
      <w:proofErr w:type="spellEnd"/>
      <w:r w:rsidRPr="004A3322">
        <w:t xml:space="preserve"> and Dr Mark </w:t>
      </w:r>
      <w:proofErr w:type="spellStart"/>
      <w:r w:rsidRPr="004A3322">
        <w:t>Pizzacalla</w:t>
      </w:r>
      <w:proofErr w:type="spellEnd"/>
      <w:r w:rsidRPr="004A3322">
        <w:t>.</w:t>
      </w:r>
      <w:r w:rsidR="00F355CE">
        <w:t xml:space="preserve"> The working group was assisted by officials from the Treasury and ATO.</w:t>
      </w:r>
    </w:p>
    <w:p w14:paraId="676201F8" w14:textId="68432E55" w:rsidR="00387537" w:rsidRDefault="0070476A" w:rsidP="0070476A">
      <w:r>
        <w:t xml:space="preserve">The </w:t>
      </w:r>
      <w:r w:rsidR="00354E9D">
        <w:t>Board</w:t>
      </w:r>
      <w:r w:rsidR="00622C85">
        <w:t xml:space="preserve"> </w:t>
      </w:r>
      <w:r w:rsidR="00387537" w:rsidRPr="00387537">
        <w:t>conducted several open, round-table consultation sessions and a number of targeted consultations to seek stakeholder feedback during the course of the review. The round table consultation meetings were held in Melbourne, Perth and Sydney. The Board also released a consultation guide calling for public submissions.</w:t>
      </w:r>
    </w:p>
    <w:p w14:paraId="5EC41D2F" w14:textId="03C28D76" w:rsidR="003B566F" w:rsidRDefault="00346842" w:rsidP="0070476A">
      <w:r w:rsidRPr="00346842">
        <w:t xml:space="preserve">This report was published on </w:t>
      </w:r>
      <w:r w:rsidR="008A2360">
        <w:t>12</w:t>
      </w:r>
      <w:r w:rsidRPr="00346842">
        <w:t xml:space="preserve"> December 2019.</w:t>
      </w:r>
    </w:p>
    <w:p w14:paraId="24A08B5D" w14:textId="77777777" w:rsidR="00D6520E" w:rsidRDefault="00D6520E" w:rsidP="00D6520E">
      <w:pPr>
        <w:pStyle w:val="Heading2"/>
      </w:pPr>
      <w:bookmarkStart w:id="12" w:name="_Toc27652699"/>
      <w:r>
        <w:t>Ongoing reviews/projects</w:t>
      </w:r>
      <w:bookmarkEnd w:id="12"/>
    </w:p>
    <w:p w14:paraId="3E0F28DB" w14:textId="3EC93A7E" w:rsidR="00D6520E" w:rsidRDefault="00D6520E" w:rsidP="00D6520E">
      <w:r w:rsidRPr="00D6520E">
        <w:t>The Board, in its role of providing ‘real time’ advice to Government</w:t>
      </w:r>
      <w:r w:rsidR="00E63E26">
        <w:t>,</w:t>
      </w:r>
      <w:r w:rsidRPr="00D6520E">
        <w:t xml:space="preserve"> continued to progress work on a number of ongoing projects. Some of this work will be completed in early 201</w:t>
      </w:r>
      <w:r w:rsidR="002D1A91">
        <w:t>9</w:t>
      </w:r>
      <w:r w:rsidR="002D1A91">
        <w:noBreakHyphen/>
        <w:t>20</w:t>
      </w:r>
      <w:r>
        <w:t>.</w:t>
      </w:r>
    </w:p>
    <w:p w14:paraId="669F2AA1" w14:textId="77777777" w:rsidR="00D6520E" w:rsidRDefault="00C87180" w:rsidP="00D6520E">
      <w:pPr>
        <w:pStyle w:val="Heading3"/>
      </w:pPr>
      <w:r>
        <w:t>Fringe benefits tax compliance cost</w:t>
      </w:r>
      <w:r w:rsidR="003209CA">
        <w:t xml:space="preserve"> and international comparison</w:t>
      </w:r>
    </w:p>
    <w:p w14:paraId="033350DD" w14:textId="48C8514E" w:rsidR="00B15C85" w:rsidRDefault="00B15C85" w:rsidP="00B15C85">
      <w:r>
        <w:t xml:space="preserve">In response to a request from the former Minister for Revenue and Financial Services, the Board commenced a review of the cost of compliance associated with fringe benefits tax obligations. The review </w:t>
      </w:r>
      <w:r w:rsidR="003209CA">
        <w:t xml:space="preserve">also </w:t>
      </w:r>
      <w:r>
        <w:t>examine</w:t>
      </w:r>
      <w:r w:rsidR="003209CA">
        <w:t>s</w:t>
      </w:r>
      <w:r>
        <w:t xml:space="preserve"> the approach in comparable countries to the taxation of fringe benefits.</w:t>
      </w:r>
    </w:p>
    <w:p w14:paraId="62B1D0C0" w14:textId="11D103BB" w:rsidR="00C87180" w:rsidRDefault="00B15C85" w:rsidP="00B15C85">
      <w:r>
        <w:lastRenderedPageBreak/>
        <w:t xml:space="preserve">The Board appointed a working group led by </w:t>
      </w:r>
      <w:r w:rsidR="00051CE5">
        <w:t xml:space="preserve">Board member </w:t>
      </w:r>
      <w:proofErr w:type="spellStart"/>
      <w:r>
        <w:t>Rosheen</w:t>
      </w:r>
      <w:proofErr w:type="spellEnd"/>
      <w:r>
        <w:t xml:space="preserve"> Garnon</w:t>
      </w:r>
      <w:r w:rsidR="00051CE5">
        <w:t xml:space="preserve">, with assistance </w:t>
      </w:r>
      <w:r>
        <w:t>f</w:t>
      </w:r>
      <w:r w:rsidR="00051CE5">
        <w:t>rom</w:t>
      </w:r>
      <w:r>
        <w:t xml:space="preserve"> Board member</w:t>
      </w:r>
      <w:r w:rsidR="00051CE5">
        <w:t>s, Neville Mitchell and</w:t>
      </w:r>
      <w:r w:rsidR="00101525">
        <w:t xml:space="preserve"> former member</w:t>
      </w:r>
      <w:r>
        <w:t xml:space="preserve"> Karen Payne</w:t>
      </w:r>
      <w:r w:rsidR="00051CE5">
        <w:t>. The working group also included</w:t>
      </w:r>
      <w:r>
        <w:t xml:space="preserve"> Dr</w:t>
      </w:r>
      <w:r w:rsidR="002D1A91">
        <w:t> </w:t>
      </w:r>
      <w:proofErr w:type="spellStart"/>
      <w:r>
        <w:t>Binh</w:t>
      </w:r>
      <w:proofErr w:type="spellEnd"/>
      <w:r>
        <w:t xml:space="preserve"> Tran-Nam (University of New South Wales), Tony Principe (Group of 100), and officials from the Treasury and the ATO.</w:t>
      </w:r>
      <w:r w:rsidR="00C53A16">
        <w:t xml:space="preserve"> The working group engaged a consultant to assist with the compliance cost research aspect of the review. </w:t>
      </w:r>
    </w:p>
    <w:p w14:paraId="5AA244DF" w14:textId="591F5660" w:rsidR="00B15C85" w:rsidRDefault="00C863DE" w:rsidP="00B15C85">
      <w:r>
        <w:t>I</w:t>
      </w:r>
      <w:r w:rsidR="00C53A16">
        <w:t xml:space="preserve">n </w:t>
      </w:r>
      <w:r>
        <w:t xml:space="preserve">undertaking its comprehensive study of FBT compliance costs the Board has consulted in a wide range of ways including: round table consultations, an </w:t>
      </w:r>
      <w:r w:rsidR="00C94425">
        <w:t xml:space="preserve">on-line survey sent to a random sample of employers lodging a 2018 fringe benefits tax return, </w:t>
      </w:r>
      <w:r w:rsidR="00B15C85">
        <w:t xml:space="preserve">secondary surveys of tax agents and other employers, focus groups and in-depth interviews involving tax advisers and </w:t>
      </w:r>
      <w:r w:rsidR="00C53A16">
        <w:t xml:space="preserve">fringe benefits </w:t>
      </w:r>
      <w:r w:rsidR="00B15C85">
        <w:t>taxpayers from all market segments and a wide range of industry sectors.</w:t>
      </w:r>
      <w:r w:rsidR="00797809">
        <w:t xml:space="preserve"> </w:t>
      </w:r>
    </w:p>
    <w:p w14:paraId="5EE3AEED" w14:textId="3CE25568" w:rsidR="008A2360" w:rsidRDefault="008A2360" w:rsidP="00B15C85">
      <w:r>
        <w:t xml:space="preserve">The Board’s report </w:t>
      </w:r>
      <w:r w:rsidR="00EB06CC">
        <w:t>was completed in early 2019</w:t>
      </w:r>
      <w:r w:rsidR="00EB06CC">
        <w:noBreakHyphen/>
        <w:t>20 and provided to government.</w:t>
      </w:r>
    </w:p>
    <w:p w14:paraId="1E38F7CE" w14:textId="77777777" w:rsidR="00C87180" w:rsidRDefault="00C87180" w:rsidP="00C87180">
      <w:pPr>
        <w:pStyle w:val="Heading3"/>
      </w:pPr>
      <w:r>
        <w:t>Voluntary tax transparency code</w:t>
      </w:r>
    </w:p>
    <w:p w14:paraId="0A8756AE" w14:textId="77777777" w:rsidR="000E3CBF" w:rsidRDefault="000E3CBF" w:rsidP="000E3CBF">
      <w:r>
        <w:t>As part of the 2015 Budget, the then Treasurer asked the Board to lead the development of a new code on greater public disclosure of tax information by business, particularly large multinationals.</w:t>
      </w:r>
      <w:r w:rsidR="001006DE">
        <w:t xml:space="preserve"> Th</w:t>
      </w:r>
      <w:r w:rsidR="00766D4E">
        <w:t xml:space="preserve">e ensuing voluntary tax transparency code commenced operation in May 2016 and was endorsed by the then Government as part of the </w:t>
      </w:r>
      <w:r w:rsidR="001006DE">
        <w:t xml:space="preserve">2016 Budget. </w:t>
      </w:r>
      <w:r w:rsidR="00766D4E">
        <w:t xml:space="preserve">In developing the voluntary </w:t>
      </w:r>
      <w:r w:rsidR="006A3C44">
        <w:t>code,</w:t>
      </w:r>
      <w:r w:rsidR="00766D4E">
        <w:t xml:space="preserve"> the Board recommended </w:t>
      </w:r>
      <w:r w:rsidR="005359C2">
        <w:t>that the code be reviewed three years from the commencement of its operation.</w:t>
      </w:r>
    </w:p>
    <w:p w14:paraId="5E9C210F" w14:textId="77777777" w:rsidR="00CB14A1" w:rsidRDefault="000E3CBF" w:rsidP="000261B6">
      <w:r>
        <w:t xml:space="preserve">In 2018, the </w:t>
      </w:r>
      <w:r w:rsidR="005359C2">
        <w:t xml:space="preserve">former Minister for Revenue and Financial Services </w:t>
      </w:r>
      <w:r w:rsidR="001006DE">
        <w:t>asked t</w:t>
      </w:r>
      <w:r w:rsidR="005359C2">
        <w:t>he B</w:t>
      </w:r>
      <w:r w:rsidR="001006DE">
        <w:t>o</w:t>
      </w:r>
      <w:r w:rsidR="005359C2">
        <w:t>ard to</w:t>
      </w:r>
      <w:r w:rsidR="001006DE">
        <w:t xml:space="preserve"> undertake </w:t>
      </w:r>
      <w:r>
        <w:t xml:space="preserve">a post-implementation review of the voluntary </w:t>
      </w:r>
      <w:r w:rsidR="001006DE">
        <w:t>tax transparency c</w:t>
      </w:r>
      <w:r>
        <w:t>ode</w:t>
      </w:r>
      <w:r w:rsidR="001006DE">
        <w:t xml:space="preserve">. </w:t>
      </w:r>
    </w:p>
    <w:p w14:paraId="05151793" w14:textId="67B85B19" w:rsidR="000261B6" w:rsidRDefault="000261B6" w:rsidP="000261B6">
      <w:r>
        <w:t xml:space="preserve">The Board appointed a working group led by Board member Ann-Maree Wolff with assistance from Board members Neville Mitchell, </w:t>
      </w:r>
      <w:r w:rsidR="00CB14A1">
        <w:t xml:space="preserve">and former members </w:t>
      </w:r>
      <w:r>
        <w:t>the late Michael Andrew AO and Karen Payne.</w:t>
      </w:r>
    </w:p>
    <w:p w14:paraId="15360506" w14:textId="306012D5" w:rsidR="00A55594" w:rsidRDefault="005359C2" w:rsidP="000E3CBF">
      <w:r>
        <w:t xml:space="preserve">In </w:t>
      </w:r>
      <w:r w:rsidR="002B3348">
        <w:t xml:space="preserve">progressing the </w:t>
      </w:r>
      <w:r w:rsidR="00A55594">
        <w:t xml:space="preserve">review, the Board </w:t>
      </w:r>
      <w:r>
        <w:t>undert</w:t>
      </w:r>
      <w:r w:rsidR="00A55594">
        <w:t>ook a comprehensive review of current and emerging global trends in transparency to identify improvements that could be incorporated into the voluntary tax transparency code.</w:t>
      </w:r>
    </w:p>
    <w:p w14:paraId="376EC623" w14:textId="1A07AC42" w:rsidR="000261B6" w:rsidRDefault="00CB14A1" w:rsidP="000E3CBF">
      <w:r w:rsidRPr="00CB14A1">
        <w:t xml:space="preserve">The Board conducted several open, round-table consultation sessions and a number of targeted consultations to seek stakeholder feedback during the course of the review. The round table consultation meetings </w:t>
      </w:r>
      <w:r>
        <w:t xml:space="preserve">involved </w:t>
      </w:r>
      <w:r w:rsidRPr="00CB14A1">
        <w:t>investors, analysts, social justice groups, industry groups, signatories to the voluntary tax transparency code</w:t>
      </w:r>
      <w:r w:rsidR="002B3348">
        <w:t xml:space="preserve"> and </w:t>
      </w:r>
      <w:r w:rsidRPr="00CB14A1">
        <w:t>tax professionals</w:t>
      </w:r>
      <w:r w:rsidR="002B3348">
        <w:t>.</w:t>
      </w:r>
      <w:r w:rsidRPr="00CB14A1">
        <w:t xml:space="preserve"> The Board also released a consultation guide calling for public submissions.</w:t>
      </w:r>
    </w:p>
    <w:p w14:paraId="7AC4D0EF" w14:textId="77777777" w:rsidR="00EB06CC" w:rsidRDefault="00EB06CC" w:rsidP="00EB06CC">
      <w:r>
        <w:t>The Board’s report was completed in early 2019</w:t>
      </w:r>
      <w:r>
        <w:noBreakHyphen/>
        <w:t>20 and provided to government.</w:t>
      </w:r>
    </w:p>
    <w:p w14:paraId="2FB3F360" w14:textId="77777777" w:rsidR="00FD3CD6" w:rsidRDefault="00FD3CD6" w:rsidP="00C87180">
      <w:pPr>
        <w:pStyle w:val="Heading3"/>
      </w:pPr>
      <w:r>
        <w:lastRenderedPageBreak/>
        <w:t>Granny flat arrangements</w:t>
      </w:r>
    </w:p>
    <w:p w14:paraId="2CA235C2" w14:textId="2A937E6B" w:rsidR="008F53B5" w:rsidRDefault="003E0393" w:rsidP="00FD3CD6">
      <w:r w:rsidRPr="00FA3179">
        <w:t>In November 2018, the then Assist</w:t>
      </w:r>
      <w:r w:rsidR="003209CA" w:rsidRPr="00FA3179">
        <w:t>ant</w:t>
      </w:r>
      <w:r w:rsidRPr="00FA3179">
        <w:t xml:space="preserve"> Treasurer </w:t>
      </w:r>
      <w:r w:rsidR="00CC7C3B" w:rsidRPr="00FA3179">
        <w:t xml:space="preserve">wrote to the Board asking the Board </w:t>
      </w:r>
      <w:r w:rsidR="00693299" w:rsidRPr="00FA3179">
        <w:t xml:space="preserve">to undertake a review of the tax treatment of </w:t>
      </w:r>
      <w:r w:rsidR="00FA3179">
        <w:t>‘</w:t>
      </w:r>
      <w:r w:rsidR="00693299" w:rsidRPr="00FA3179">
        <w:t>granny flat</w:t>
      </w:r>
      <w:r w:rsidR="00FA3179">
        <w:t>’</w:t>
      </w:r>
      <w:r w:rsidR="00693299" w:rsidRPr="00FA3179">
        <w:t xml:space="preserve"> arrangements</w:t>
      </w:r>
      <w:r w:rsidR="00D75318" w:rsidRPr="00FA3179">
        <w:t xml:space="preserve">. The </w:t>
      </w:r>
      <w:r w:rsidR="008F53B5" w:rsidRPr="00FA3179">
        <w:t xml:space="preserve">review considered the tax treatment of such arrangements, and </w:t>
      </w:r>
      <w:r w:rsidR="00D75318" w:rsidRPr="00FA3179">
        <w:t>the interactions between the current tax laws and treatment of ‘granny flat interests’ under the social security rules.</w:t>
      </w:r>
      <w:r w:rsidR="00693299" w:rsidRPr="00FA3179">
        <w:t xml:space="preserve"> </w:t>
      </w:r>
      <w:r w:rsidR="00CC7C3B" w:rsidRPr="007A18A7">
        <w:t xml:space="preserve">In making recommendations, the Board was asked to consider how any changes could raise awareness and provide incentives for older people and their families to enter into formal and legally enforceable </w:t>
      </w:r>
      <w:r w:rsidR="00734EF7" w:rsidRPr="007A18A7">
        <w:t xml:space="preserve">family agreements </w:t>
      </w:r>
      <w:r w:rsidR="00FA3179" w:rsidRPr="007A18A7">
        <w:t xml:space="preserve">to help </w:t>
      </w:r>
      <w:r w:rsidR="00734EF7" w:rsidRPr="007A18A7">
        <w:t>protect the rights of the older person.</w:t>
      </w:r>
    </w:p>
    <w:p w14:paraId="258C685E" w14:textId="776592E7" w:rsidR="00BF4D3B" w:rsidRDefault="00693299" w:rsidP="00FD3CD6">
      <w:r w:rsidRPr="00693299">
        <w:t xml:space="preserve">The Board appointed a </w:t>
      </w:r>
      <w:r>
        <w:t>w</w:t>
      </w:r>
      <w:r w:rsidRPr="00693299">
        <w:t xml:space="preserve">orking </w:t>
      </w:r>
      <w:r>
        <w:t>g</w:t>
      </w:r>
      <w:r w:rsidRPr="00693299">
        <w:t xml:space="preserve">roup led by the </w:t>
      </w:r>
      <w:r w:rsidR="008F53B5">
        <w:t xml:space="preserve">former </w:t>
      </w:r>
      <w:r>
        <w:t xml:space="preserve">Board member and </w:t>
      </w:r>
      <w:r w:rsidRPr="00693299">
        <w:t>CEO Karen Payne</w:t>
      </w:r>
      <w:r w:rsidR="002D1A91">
        <w:t>,</w:t>
      </w:r>
      <w:r w:rsidRPr="00693299">
        <w:t xml:space="preserve"> with assistance from </w:t>
      </w:r>
      <w:r w:rsidR="00BF4D3B">
        <w:t xml:space="preserve">Board members Neville Mitchell and </w:t>
      </w:r>
      <w:r w:rsidRPr="00693299">
        <w:t>Peter Quiggin</w:t>
      </w:r>
      <w:r w:rsidR="000E3CBF">
        <w:t xml:space="preserve"> PSM</w:t>
      </w:r>
      <w:r w:rsidR="00BF4D3B">
        <w:t>.</w:t>
      </w:r>
      <w:r w:rsidRPr="00693299">
        <w:t xml:space="preserve"> The </w:t>
      </w:r>
      <w:r w:rsidR="00BF4D3B">
        <w:t xml:space="preserve">Board appointed </w:t>
      </w:r>
      <w:r w:rsidRPr="00693299">
        <w:t xml:space="preserve">Craig </w:t>
      </w:r>
      <w:proofErr w:type="spellStart"/>
      <w:r w:rsidRPr="00693299">
        <w:t>Yaxley</w:t>
      </w:r>
      <w:proofErr w:type="spellEnd"/>
      <w:r w:rsidR="00BF4D3B">
        <w:t xml:space="preserve"> to lead the working group upon</w:t>
      </w:r>
      <w:r w:rsidRPr="00693299">
        <w:t xml:space="preserve"> </w:t>
      </w:r>
      <w:r w:rsidR="00FA3179">
        <w:t xml:space="preserve">Ms </w:t>
      </w:r>
      <w:r w:rsidRPr="00693299">
        <w:t>Karen Payne’s departure from the Board in May 2019.</w:t>
      </w:r>
    </w:p>
    <w:p w14:paraId="168CA45C" w14:textId="6D3D6C05" w:rsidR="00BF4D3B" w:rsidRDefault="00693299" w:rsidP="00FD3CD6">
      <w:r w:rsidRPr="00693299">
        <w:t xml:space="preserve">In progressing the </w:t>
      </w:r>
      <w:r w:rsidR="00BF4D3B">
        <w:t>review</w:t>
      </w:r>
      <w:r w:rsidRPr="00693299">
        <w:t xml:space="preserve">, the </w:t>
      </w:r>
      <w:r w:rsidR="00C14566">
        <w:t>working group</w:t>
      </w:r>
      <w:r w:rsidRPr="00693299">
        <w:t xml:space="preserve"> undertook consultation with elder law specialists, financial advisers, academics and advocates for the rights of older Australians. </w:t>
      </w:r>
      <w:r w:rsidR="00C14566">
        <w:t xml:space="preserve">The working group conducted a roundtable meeting in Brisbane. The group also </w:t>
      </w:r>
      <w:r w:rsidRPr="00693299">
        <w:t xml:space="preserve">worked in close collaboration with </w:t>
      </w:r>
      <w:r w:rsidR="00C14566">
        <w:t>officials from the Treasury, ATO</w:t>
      </w:r>
      <w:r w:rsidRPr="00693299">
        <w:t xml:space="preserve">, Department of Social Security, Department of Human Services and the Australian Government Solicitor. </w:t>
      </w:r>
    </w:p>
    <w:p w14:paraId="2C8A1878" w14:textId="2134F176" w:rsidR="00FD3CD6" w:rsidRPr="00FD3CD6" w:rsidRDefault="00693299" w:rsidP="00FD3CD6">
      <w:r w:rsidRPr="00693299">
        <w:t xml:space="preserve">The </w:t>
      </w:r>
      <w:r w:rsidR="002617D8">
        <w:t xml:space="preserve">Terms of Reference require the Board to </w:t>
      </w:r>
      <w:r w:rsidRPr="00693299">
        <w:t>provide</w:t>
      </w:r>
      <w:r w:rsidR="002617D8">
        <w:t xml:space="preserve"> its report</w:t>
      </w:r>
      <w:r w:rsidRPr="00693299">
        <w:t xml:space="preserve"> to the Government in latter half of the 2019 calendar year.</w:t>
      </w:r>
      <w:r w:rsidR="00EB06CC">
        <w:t xml:space="preserve"> Accordingly, the Board’s report has been provided to Government. </w:t>
      </w:r>
    </w:p>
    <w:p w14:paraId="48D96C2A" w14:textId="77777777" w:rsidR="00C87180" w:rsidRDefault="00C87180" w:rsidP="00C87180">
      <w:pPr>
        <w:pStyle w:val="Heading3"/>
      </w:pPr>
      <w:r>
        <w:t>N</w:t>
      </w:r>
      <w:r w:rsidR="005F2F00">
        <w:t>ot</w:t>
      </w:r>
      <w:r w:rsidR="005F2F00">
        <w:noBreakHyphen/>
      </w:r>
      <w:r>
        <w:t>f</w:t>
      </w:r>
      <w:r w:rsidR="005F2F00">
        <w:t>or</w:t>
      </w:r>
      <w:r w:rsidR="005F2F00">
        <w:noBreakHyphen/>
        <w:t>profits</w:t>
      </w:r>
    </w:p>
    <w:p w14:paraId="0EA344B9" w14:textId="3D0D6E32" w:rsidR="007D3CC8" w:rsidRDefault="007D3CC8" w:rsidP="007D3CC8">
      <w:r>
        <w:t>In 2018, the Board undertook a review of the current position with respect to the taxation of the not</w:t>
      </w:r>
      <w:r>
        <w:noBreakHyphen/>
        <w:t>for</w:t>
      </w:r>
      <w:r>
        <w:noBreakHyphen/>
        <w:t>profit sector, with a view to identifying any issues that may require further consideration in order to ensure that the tax settings were appropriately targeted and that this important sector of our community continues to thrive.</w:t>
      </w:r>
    </w:p>
    <w:p w14:paraId="28903045" w14:textId="77777777" w:rsidR="007D3CC8" w:rsidRDefault="007D3CC8" w:rsidP="007D3CC8">
      <w:r>
        <w:t xml:space="preserve">The Board appointed a working group led by Board member Dr Julianne </w:t>
      </w:r>
      <w:proofErr w:type="spellStart"/>
      <w:r>
        <w:t>Jaques</w:t>
      </w:r>
      <w:proofErr w:type="spellEnd"/>
      <w:r>
        <w:t>, with assistance from the then Chair of the Board, the late Michael Andrew AO.</w:t>
      </w:r>
    </w:p>
    <w:p w14:paraId="03E82F2B" w14:textId="778CF936" w:rsidR="007D3CC8" w:rsidRDefault="007D3CC8" w:rsidP="007D3CC8">
      <w:r>
        <w:t xml:space="preserve">The working group reviewed the reports issued by a number of </w:t>
      </w:r>
      <w:r w:rsidR="00E63E26">
        <w:t xml:space="preserve">past </w:t>
      </w:r>
      <w:r>
        <w:t xml:space="preserve">reviews undertaken into this area in the past and </w:t>
      </w:r>
      <w:r w:rsidR="00E63E26">
        <w:t xml:space="preserve">undertook </w:t>
      </w:r>
      <w:r>
        <w:t>consultation including with government departments and agencies (including the Treasury, the ATO, the Australian Charities and Not</w:t>
      </w:r>
      <w:r>
        <w:noBreakHyphen/>
        <w:t>for</w:t>
      </w:r>
      <w:r>
        <w:noBreakHyphen/>
      </w:r>
      <w:r w:rsidR="00904240">
        <w:t>P</w:t>
      </w:r>
      <w:r>
        <w:t xml:space="preserve">rofits Commission and the Productivity Commission) and with revenue authorities in Canada, New Zealand and the United Kingdom.  </w:t>
      </w:r>
    </w:p>
    <w:p w14:paraId="7042E77B" w14:textId="77777777" w:rsidR="00C87180" w:rsidRDefault="00C87180" w:rsidP="00C87180">
      <w:pPr>
        <w:pStyle w:val="Heading2"/>
      </w:pPr>
      <w:bookmarkStart w:id="13" w:name="_Toc27652700"/>
      <w:r>
        <w:lastRenderedPageBreak/>
        <w:t>Other ongoing work</w:t>
      </w:r>
      <w:bookmarkEnd w:id="13"/>
    </w:p>
    <w:p w14:paraId="51B75E4E" w14:textId="77777777" w:rsidR="00C87180" w:rsidRDefault="002C22AE" w:rsidP="002C22AE">
      <w:pPr>
        <w:pStyle w:val="Heading3"/>
      </w:pPr>
      <w:r>
        <w:t>Regulatory reform</w:t>
      </w:r>
    </w:p>
    <w:p w14:paraId="02A9C3A9" w14:textId="6E9EE4DC" w:rsidR="002C22AE" w:rsidRDefault="002C22AE" w:rsidP="002C22AE">
      <w:r w:rsidRPr="002C22AE">
        <w:t>The Board continues to assist the Government in reducing the regulatory burden associated with taxation. This focus arose both because of the Board’s role as the Ministerial Advisory Council (MAC) for tax matters and from its general mandate to contribute to the improvement to the general integrity and functioning of the taxation system.</w:t>
      </w:r>
    </w:p>
    <w:p w14:paraId="46C0B21A" w14:textId="141E79E0" w:rsidR="00801E6D" w:rsidRDefault="00801E6D" w:rsidP="00801E6D">
      <w:r>
        <w:t>In fulfilling the MAC role, the Board is asked to:</w:t>
      </w:r>
    </w:p>
    <w:p w14:paraId="697D64A3" w14:textId="77777777" w:rsidR="00801E6D" w:rsidRDefault="00801E6D" w:rsidP="00AE7B94">
      <w:pPr>
        <w:pStyle w:val="Bullet"/>
      </w:pPr>
      <w:r>
        <w:t>identify potential targets for regulatory reform (for example, areas of inefficient regulation, excessive red tape or unnecessarily high regulatory burden);</w:t>
      </w:r>
    </w:p>
    <w:p w14:paraId="0A8AAF37" w14:textId="77777777" w:rsidR="00801E6D" w:rsidRDefault="00801E6D" w:rsidP="00AE7B94">
      <w:pPr>
        <w:pStyle w:val="Bullet"/>
      </w:pPr>
      <w:r>
        <w:t>provide a sounding board for regulatory reform or repeal proposals;</w:t>
      </w:r>
    </w:p>
    <w:p w14:paraId="057076F9" w14:textId="77777777" w:rsidR="00801E6D" w:rsidRDefault="00801E6D" w:rsidP="00AE7B94">
      <w:pPr>
        <w:pStyle w:val="Bullet"/>
      </w:pPr>
      <w:r>
        <w:t>provide feedback on the progress of regulatory reform within the portfolio; and</w:t>
      </w:r>
    </w:p>
    <w:p w14:paraId="76226638" w14:textId="327C0971" w:rsidR="00E63E26" w:rsidRDefault="00801E6D" w:rsidP="00AE7B94">
      <w:pPr>
        <w:pStyle w:val="Bullet"/>
      </w:pPr>
      <w:proofErr w:type="gramStart"/>
      <w:r>
        <w:t>advise</w:t>
      </w:r>
      <w:proofErr w:type="gramEnd"/>
      <w:r>
        <w:t xml:space="preserve"> on broader policy issues relevant to the portfolio.</w:t>
      </w:r>
    </w:p>
    <w:p w14:paraId="3FBF796B" w14:textId="77777777" w:rsidR="00801E6D" w:rsidRDefault="00801E6D" w:rsidP="00801E6D">
      <w:r>
        <w:t>In particular, the Board is asked to provide appropriate input on:</w:t>
      </w:r>
    </w:p>
    <w:p w14:paraId="2FA1D563" w14:textId="77777777" w:rsidR="00801E6D" w:rsidRDefault="00801E6D" w:rsidP="00AE7B94">
      <w:pPr>
        <w:pStyle w:val="Bullet"/>
      </w:pPr>
      <w:r>
        <w:t xml:space="preserve">immediate deregulatory tasks, including the stocktake and audit of tax regulation; and </w:t>
      </w:r>
    </w:p>
    <w:p w14:paraId="638513D5" w14:textId="6FF7F1E7" w:rsidR="00E63E26" w:rsidRDefault="00801E6D" w:rsidP="00AE7B94">
      <w:pPr>
        <w:pStyle w:val="Bullet"/>
      </w:pPr>
      <w:proofErr w:type="gramStart"/>
      <w:r>
        <w:t>future</w:t>
      </w:r>
      <w:proofErr w:type="gramEnd"/>
      <w:r>
        <w:t xml:space="preserve"> regulatory reforms, that is, ideas on deregulatory opportunities and priorities that can be included in the regulatory budgeting process. </w:t>
      </w:r>
    </w:p>
    <w:p w14:paraId="5C6B7629" w14:textId="77777777" w:rsidR="00801E6D" w:rsidRDefault="00801E6D" w:rsidP="00801E6D">
      <w:r>
        <w:t>During 2018</w:t>
      </w:r>
      <w:r>
        <w:noBreakHyphen/>
        <w:t xml:space="preserve">19, the Board acted as a sounding board in relation to the ATO’s self-assessed ratings against the Regulator Performance Framework. </w:t>
      </w:r>
    </w:p>
    <w:p w14:paraId="21A0EC05" w14:textId="77777777" w:rsidR="00801E6D" w:rsidRDefault="00801E6D" w:rsidP="00801E6D">
      <w:r>
        <w:t xml:space="preserve">A working group consisting of Board members Neville Mitchell and Craig </w:t>
      </w:r>
      <w:proofErr w:type="spellStart"/>
      <w:r>
        <w:t>Yaxley</w:t>
      </w:r>
      <w:proofErr w:type="spellEnd"/>
      <w:r>
        <w:t xml:space="preserve"> supported this work.</w:t>
      </w:r>
    </w:p>
    <w:p w14:paraId="358B4F96" w14:textId="77777777" w:rsidR="00801E6D" w:rsidRDefault="00801E6D" w:rsidP="00801E6D">
      <w:r w:rsidRPr="000E0018">
        <w:t xml:space="preserve">The Board </w:t>
      </w:r>
      <w:r>
        <w:t xml:space="preserve">has </w:t>
      </w:r>
      <w:r w:rsidRPr="000E0018">
        <w:t>an oversight function in relation to the exercise of the Commissioner’s remedial power and has an opportunity to independently review the cases and to provide input before and after the private and public consultation processes.</w:t>
      </w:r>
      <w:r>
        <w:t xml:space="preserve"> The Board was not called upon to review any cases in 2018</w:t>
      </w:r>
      <w:r>
        <w:noBreakHyphen/>
        <w:t>19.</w:t>
      </w:r>
    </w:p>
    <w:p w14:paraId="45C3DE65" w14:textId="77777777" w:rsidR="002C22AE" w:rsidRDefault="00C470DF" w:rsidP="00C470DF">
      <w:pPr>
        <w:pStyle w:val="Heading4"/>
      </w:pPr>
      <w:r>
        <w:t>Sounding Board</w:t>
      </w:r>
    </w:p>
    <w:p w14:paraId="4DD4DC66" w14:textId="0CA3E3BF" w:rsidR="00042D87" w:rsidRDefault="00042D87" w:rsidP="00042D87">
      <w:r>
        <w:t>The Board utilises ‘Sound</w:t>
      </w:r>
      <w:r w:rsidR="00FE1CD6">
        <w:t>ing</w:t>
      </w:r>
      <w:r>
        <w:t xml:space="preserve"> Board’ to </w:t>
      </w:r>
      <w:r w:rsidR="00C470DF">
        <w:t xml:space="preserve">identify proposals </w:t>
      </w:r>
      <w:r>
        <w:t xml:space="preserve">for system improvement with a focus on </w:t>
      </w:r>
      <w:r w:rsidR="00C470DF">
        <w:t xml:space="preserve">red tape </w:t>
      </w:r>
      <w:r>
        <w:t xml:space="preserve">reduction and </w:t>
      </w:r>
      <w:r w:rsidR="00C470DF">
        <w:t xml:space="preserve">compliance savings. </w:t>
      </w:r>
      <w:r>
        <w:t>It is a web based collaborative platform where users can raise, debate and prioritise business and community sector ideas on how to improve the current tax system and replaces the previous Tax Issues Entry System.</w:t>
      </w:r>
    </w:p>
    <w:p w14:paraId="63B80AC5" w14:textId="14E6D88C" w:rsidR="00C470DF" w:rsidRDefault="006954DA" w:rsidP="00C470DF">
      <w:r w:rsidRPr="006954DA">
        <w:lastRenderedPageBreak/>
        <w:t>At each of its regular meetings, the Board considers all new additions to Sounding Board</w:t>
      </w:r>
      <w:r w:rsidR="004660D5" w:rsidRPr="007A18A7">
        <w:t xml:space="preserve"> and has created a </w:t>
      </w:r>
      <w:r w:rsidR="00C470DF">
        <w:t xml:space="preserve">Tax System Improvement working group (Appendix C) </w:t>
      </w:r>
      <w:r w:rsidR="00FB10D8">
        <w:t xml:space="preserve">who, </w:t>
      </w:r>
      <w:r w:rsidR="00C470DF">
        <w:t xml:space="preserve">where suitable, advocate a pathway for their implementation via legislative or administrative means. </w:t>
      </w:r>
    </w:p>
    <w:p w14:paraId="2682230D" w14:textId="770E2CA0" w:rsidR="00830203" w:rsidRDefault="00830203" w:rsidP="00C470DF">
      <w:r>
        <w:t xml:space="preserve">During the </w:t>
      </w:r>
      <w:r w:rsidR="006A3C44">
        <w:t>year,</w:t>
      </w:r>
      <w:r>
        <w:t xml:space="preserve"> the Board refreshed the Sounding Board webpage by organising the ideas under five ‘campaign headings’. The refresh has led to a</w:t>
      </w:r>
      <w:r w:rsidR="004909D9">
        <w:t xml:space="preserve">n </w:t>
      </w:r>
      <w:r>
        <w:t>increase in the ideas put forward to improve the tax system.</w:t>
      </w:r>
    </w:p>
    <w:p w14:paraId="69876A62" w14:textId="2DD1CAEB" w:rsidR="00830203" w:rsidRDefault="003E2AAC" w:rsidP="00C470DF">
      <w:r>
        <w:t xml:space="preserve">To date ideas posted on Sounding Board </w:t>
      </w:r>
      <w:r w:rsidR="00A06D9E">
        <w:t>h</w:t>
      </w:r>
      <w:r w:rsidR="004660D5">
        <w:t>ave</w:t>
      </w:r>
      <w:r w:rsidR="00A06D9E">
        <w:t xml:space="preserve"> contributed</w:t>
      </w:r>
      <w:r>
        <w:t xml:space="preserve"> to</w:t>
      </w:r>
      <w:r w:rsidR="004660D5">
        <w:t>:</w:t>
      </w:r>
      <w:r>
        <w:t xml:space="preserve"> the commencement of a review of fringe benefits tax compliance costs, several ideas being considered as part of Board reviews, a change in law for excess superannuation contributions, </w:t>
      </w:r>
      <w:r w:rsidR="00DA65DF">
        <w:t xml:space="preserve">two ideas being included with the </w:t>
      </w:r>
      <w:r w:rsidR="00DA65DF" w:rsidRPr="00DA65DF">
        <w:rPr>
          <w:i/>
        </w:rPr>
        <w:t>Miscellaneous Amendments Bill Exposure Draft</w:t>
      </w:r>
      <w:r w:rsidR="00DA65DF">
        <w:t xml:space="preserve"> released for consultation on 6</w:t>
      </w:r>
      <w:r w:rsidR="00A06D9E">
        <w:t> </w:t>
      </w:r>
      <w:r w:rsidR="00DA65DF">
        <w:t>September</w:t>
      </w:r>
      <w:r w:rsidR="00A06D9E">
        <w:t> </w:t>
      </w:r>
      <w:r w:rsidR="00DA65DF">
        <w:t xml:space="preserve">2019, </w:t>
      </w:r>
      <w:r>
        <w:t xml:space="preserve">several ideas </w:t>
      </w:r>
      <w:r w:rsidR="00DA65DF">
        <w:t xml:space="preserve">being </w:t>
      </w:r>
      <w:r>
        <w:t xml:space="preserve">put forward </w:t>
      </w:r>
      <w:r w:rsidR="00402BD5">
        <w:t>to government as part of the Board’s Budget ideas</w:t>
      </w:r>
      <w:r w:rsidR="00DA65DF">
        <w:t xml:space="preserve"> submissions</w:t>
      </w:r>
      <w:r w:rsidR="00402BD5">
        <w:t xml:space="preserve"> and other advice, and a number of ideas being referred to other government departments.</w:t>
      </w:r>
    </w:p>
    <w:p w14:paraId="3FAC0E21" w14:textId="77777777" w:rsidR="000E0018" w:rsidRDefault="000E0018" w:rsidP="000E0018">
      <w:pPr>
        <w:pStyle w:val="Heading3"/>
      </w:pPr>
      <w:r>
        <w:t>Board watching briefs</w:t>
      </w:r>
    </w:p>
    <w:p w14:paraId="46A6D5FD" w14:textId="77777777" w:rsidR="001E21A8" w:rsidRDefault="000E0018" w:rsidP="000E0018">
      <w:r w:rsidRPr="000E0018">
        <w:t xml:space="preserve">The Board </w:t>
      </w:r>
      <w:r w:rsidR="001E21A8">
        <w:t>maintains a watching brief on developments in the areas of:</w:t>
      </w:r>
    </w:p>
    <w:p w14:paraId="096C2820" w14:textId="77777777" w:rsidR="001E21A8" w:rsidRDefault="001E21A8" w:rsidP="00AE7B94">
      <w:pPr>
        <w:pStyle w:val="Bullet"/>
      </w:pPr>
      <w:r>
        <w:t>International developments in the taxation of the digital economy.</w:t>
      </w:r>
      <w:r w:rsidR="005B7EB4">
        <w:t xml:space="preserve"> </w:t>
      </w:r>
    </w:p>
    <w:p w14:paraId="154C059B" w14:textId="77777777" w:rsidR="000E0018" w:rsidRDefault="001E21A8" w:rsidP="00AE7B94">
      <w:pPr>
        <w:pStyle w:val="Bullet"/>
      </w:pPr>
      <w:r>
        <w:t>Potential impact on taxation laws from proposed changes in accounting standards.</w:t>
      </w:r>
    </w:p>
    <w:p w14:paraId="207FC4B5" w14:textId="77777777" w:rsidR="005B7EB4" w:rsidRPr="005B7EB4" w:rsidRDefault="005B7EB4" w:rsidP="001E21A8">
      <w:pPr>
        <w:rPr>
          <w:i/>
        </w:rPr>
      </w:pPr>
      <w:r>
        <w:rPr>
          <w:i/>
        </w:rPr>
        <w:t>Digital economy</w:t>
      </w:r>
    </w:p>
    <w:p w14:paraId="60AA0C79" w14:textId="77777777" w:rsidR="001E21A8" w:rsidRDefault="005B7EB4" w:rsidP="001E21A8">
      <w:r>
        <w:t xml:space="preserve">The Board has been monitoring the work by the OECD to address the tax challenges </w:t>
      </w:r>
      <w:r w:rsidR="007F12F5">
        <w:t>raised by digitalisation and the steps being taken to develop a consensus</w:t>
      </w:r>
      <w:r w:rsidR="007F12F5">
        <w:noBreakHyphen/>
        <w:t xml:space="preserve">based solution by the end of 2020. </w:t>
      </w:r>
      <w:r w:rsidR="005F789C">
        <w:t xml:space="preserve">The Board is assisting Treasury on this matter. </w:t>
      </w:r>
      <w:r w:rsidR="006A3C44">
        <w:t xml:space="preserve">Craig </w:t>
      </w:r>
      <w:proofErr w:type="spellStart"/>
      <w:r w:rsidR="006A3C44">
        <w:t>Yaxley</w:t>
      </w:r>
      <w:proofErr w:type="spellEnd"/>
      <w:r w:rsidR="006A3C44">
        <w:t xml:space="preserve"> led the work</w:t>
      </w:r>
      <w:r w:rsidR="005F789C">
        <w:t xml:space="preserve"> during 2018</w:t>
      </w:r>
      <w:r w:rsidR="005F789C">
        <w:noBreakHyphen/>
        <w:t>19.</w:t>
      </w:r>
    </w:p>
    <w:p w14:paraId="76AD6B0D" w14:textId="77777777" w:rsidR="005F789C" w:rsidRDefault="005F789C" w:rsidP="001E21A8">
      <w:pPr>
        <w:rPr>
          <w:i/>
        </w:rPr>
      </w:pPr>
      <w:r>
        <w:rPr>
          <w:i/>
        </w:rPr>
        <w:t>Changes to accounting standards</w:t>
      </w:r>
    </w:p>
    <w:p w14:paraId="75F0BD8B" w14:textId="77777777" w:rsidR="00366E22" w:rsidRDefault="00E9016A" w:rsidP="001E21A8">
      <w:r w:rsidRPr="00E9016A">
        <w:t>The Board considered the potential tax implications of changes in accounting standards.</w:t>
      </w:r>
      <w:r w:rsidR="00311665">
        <w:t xml:space="preserve"> In the 2018</w:t>
      </w:r>
      <w:r w:rsidR="00311665">
        <w:noBreakHyphen/>
        <w:t xml:space="preserve">19 </w:t>
      </w:r>
      <w:r w:rsidR="006A3C44">
        <w:t>year,</w:t>
      </w:r>
      <w:r w:rsidR="00311665">
        <w:t xml:space="preserve"> the Board </w:t>
      </w:r>
      <w:r w:rsidR="005F789C">
        <w:t>liais</w:t>
      </w:r>
      <w:r w:rsidR="00311665">
        <w:t>ed w</w:t>
      </w:r>
      <w:r w:rsidR="005F789C">
        <w:t xml:space="preserve">ith Treasury and the ATO </w:t>
      </w:r>
      <w:r w:rsidR="00311665">
        <w:t>discussing i</w:t>
      </w:r>
      <w:r w:rsidR="005F789C">
        <w:t xml:space="preserve">mplications for the tax system in respect of changes to the </w:t>
      </w:r>
      <w:r w:rsidR="00366E22">
        <w:t xml:space="preserve">following </w:t>
      </w:r>
      <w:r w:rsidR="005F789C">
        <w:t>accounting standards</w:t>
      </w:r>
      <w:r w:rsidR="00366E22">
        <w:t>:</w:t>
      </w:r>
    </w:p>
    <w:p w14:paraId="2FA46606" w14:textId="77777777" w:rsidR="00366E22" w:rsidRDefault="00366E22" w:rsidP="00AE7B94">
      <w:pPr>
        <w:pStyle w:val="Bullet"/>
      </w:pPr>
      <w:r>
        <w:t>AASB 15 Revenue from Contracts with Customers.</w:t>
      </w:r>
    </w:p>
    <w:p w14:paraId="50EAB6A4" w14:textId="77777777" w:rsidR="00366E22" w:rsidRDefault="00366E22" w:rsidP="00AE7B94">
      <w:pPr>
        <w:pStyle w:val="Bullet"/>
      </w:pPr>
      <w:r>
        <w:t>AASB 16 Leases.</w:t>
      </w:r>
    </w:p>
    <w:p w14:paraId="576D8FD6" w14:textId="77777777" w:rsidR="005F789C" w:rsidRDefault="00366E22" w:rsidP="00AE7B94">
      <w:pPr>
        <w:pStyle w:val="Bullet"/>
      </w:pPr>
      <w:r>
        <w:t>AASB 17 Insurance Contracts.</w:t>
      </w:r>
      <w:r w:rsidR="005F789C">
        <w:t xml:space="preserve"> </w:t>
      </w:r>
    </w:p>
    <w:p w14:paraId="2133F1EA" w14:textId="77777777" w:rsidR="00366E22" w:rsidRDefault="006A3C44" w:rsidP="00311665">
      <w:r w:rsidRPr="00311665">
        <w:t xml:space="preserve">A working group consisting of Board members Craig </w:t>
      </w:r>
      <w:proofErr w:type="spellStart"/>
      <w:r w:rsidRPr="00311665">
        <w:t>Yaxley</w:t>
      </w:r>
      <w:proofErr w:type="spellEnd"/>
      <w:r w:rsidRPr="00311665">
        <w:t xml:space="preserve"> and Ann</w:t>
      </w:r>
      <w:r w:rsidRPr="00311665">
        <w:noBreakHyphen/>
        <w:t>Maree Wolff supported this work</w:t>
      </w:r>
      <w:r w:rsidR="00E9016A">
        <w:t>.</w:t>
      </w:r>
    </w:p>
    <w:p w14:paraId="60D46A6F" w14:textId="77777777" w:rsidR="00BF3B4F" w:rsidRDefault="00BF3B4F" w:rsidP="00BF3B4F">
      <w:pPr>
        <w:pStyle w:val="Heading2"/>
      </w:pPr>
      <w:bookmarkStart w:id="14" w:name="_Toc27652701"/>
      <w:r>
        <w:lastRenderedPageBreak/>
        <w:t>Stakeholder Consultation</w:t>
      </w:r>
      <w:bookmarkEnd w:id="14"/>
    </w:p>
    <w:p w14:paraId="500408A7" w14:textId="77777777" w:rsidR="00BF3B4F" w:rsidRDefault="00BF3B4F" w:rsidP="00BF3B4F">
      <w:pPr>
        <w:pStyle w:val="Heading3"/>
      </w:pPr>
      <w:r>
        <w:t>General</w:t>
      </w:r>
    </w:p>
    <w:p w14:paraId="45CCD0D3" w14:textId="77777777" w:rsidR="00BF3B4F" w:rsidRDefault="00BF3B4F" w:rsidP="00BF3B4F">
      <w:r>
        <w:t xml:space="preserve">The Board undertakes a program of regular consultation with external stakeholders, including members of its Advisory Panel, on issues falling within its Charter. Board members provide speeches and presentations and participate as panel members at various tax events. </w:t>
      </w:r>
    </w:p>
    <w:p w14:paraId="5D74068B" w14:textId="7339474F" w:rsidR="00BF3B4F" w:rsidRDefault="00BF3B4F" w:rsidP="00BF3B4F">
      <w:r>
        <w:t>Over the 2018</w:t>
      </w:r>
      <w:r>
        <w:noBreakHyphen/>
        <w:t>19 year, Board members in their formal capacity presente</w:t>
      </w:r>
      <w:r w:rsidR="008954B8">
        <w:t xml:space="preserve">d or participated in </w:t>
      </w:r>
      <w:r w:rsidR="006A2CC8">
        <w:t>around</w:t>
      </w:r>
      <w:r w:rsidR="008954B8">
        <w:t xml:space="preserve"> </w:t>
      </w:r>
      <w:r w:rsidR="008954B8" w:rsidRPr="006A2CC8">
        <w:t>2</w:t>
      </w:r>
      <w:r w:rsidRPr="006A2CC8">
        <w:t>0</w:t>
      </w:r>
      <w:r>
        <w:t xml:space="preserve"> events. This reflects the Board’s views of the importance of </w:t>
      </w:r>
      <w:r w:rsidR="00BD10C2">
        <w:t xml:space="preserve">engaging with </w:t>
      </w:r>
      <w:r>
        <w:t>and listening to the business and academic community.  A list of the events is included at Appendix</w:t>
      </w:r>
      <w:r w:rsidR="00801E6D">
        <w:t> </w:t>
      </w:r>
      <w:r w:rsidR="008954B8">
        <w:t>D</w:t>
      </w:r>
      <w:r>
        <w:t>.</w:t>
      </w:r>
    </w:p>
    <w:p w14:paraId="472BDECF" w14:textId="158A6009" w:rsidR="00BF3B4F" w:rsidRDefault="00BF3B4F" w:rsidP="00BF3B4F">
      <w:r>
        <w:t>Together and separately, the Chair and the CEO met with the business community and other key stakeholders to receive feedback on concerns and opportunities in the tax system. Themes from these meetings help inform the Board’s work.</w:t>
      </w:r>
    </w:p>
    <w:p w14:paraId="790F7CA5" w14:textId="77777777" w:rsidR="00BF3B4F" w:rsidRDefault="00BF3B4F" w:rsidP="00BF3B4F">
      <w:r>
        <w:t>The Board is also represented on a number of ATO Committees including the ATO Consultation Steering Group</w:t>
      </w:r>
      <w:r w:rsidR="008954B8">
        <w:t xml:space="preserve"> and</w:t>
      </w:r>
      <w:r>
        <w:t xml:space="preserve"> Large Business and Stewardship Group. </w:t>
      </w:r>
    </w:p>
    <w:p w14:paraId="622DB0CA" w14:textId="6C30691A" w:rsidR="00BF3B4F" w:rsidRDefault="00BF3B4F" w:rsidP="00AE7B94">
      <w:pPr>
        <w:pStyle w:val="Bullet"/>
      </w:pPr>
      <w:r>
        <w:t>The Consultation Steering Group is co</w:t>
      </w:r>
      <w:r w:rsidR="008954B8">
        <w:noBreakHyphen/>
      </w:r>
      <w:r>
        <w:t xml:space="preserve">chaired by the ATO and </w:t>
      </w:r>
      <w:r w:rsidR="00BD10C2">
        <w:t xml:space="preserve">Corporate Tax Association </w:t>
      </w:r>
      <w:r>
        <w:t xml:space="preserve">and meets every three months. It ensures that consultations on tax </w:t>
      </w:r>
      <w:r w:rsidR="00BD10C2">
        <w:t xml:space="preserve">administration </w:t>
      </w:r>
      <w:r>
        <w:t xml:space="preserve">and related matters are identified and kept on track, with the right people involved. </w:t>
      </w:r>
    </w:p>
    <w:p w14:paraId="49D3F79D" w14:textId="24E17B84" w:rsidR="00E63E26" w:rsidRDefault="00BF3B4F" w:rsidP="00AE7B94">
      <w:pPr>
        <w:pStyle w:val="Bullet"/>
      </w:pPr>
      <w:r>
        <w:t xml:space="preserve">The Large Business and Stewardship Group is co-chaired by the ATO and the Corporate Tax Association. It consults on high-level, significant matters </w:t>
      </w:r>
      <w:r w:rsidR="009D17B8">
        <w:t xml:space="preserve">relating to tax administration </w:t>
      </w:r>
      <w:r>
        <w:t>where the outcomes are considered to be in the national interest</w:t>
      </w:r>
      <w:r w:rsidR="009D17B8">
        <w:t>,</w:t>
      </w:r>
      <w:r>
        <w:t xml:space="preserve"> and provides opportunities to discuss the strategic direction of the </w:t>
      </w:r>
      <w:r w:rsidR="009D17B8">
        <w:t xml:space="preserve">administration of the </w:t>
      </w:r>
      <w:r>
        <w:t xml:space="preserve">tax system. </w:t>
      </w:r>
    </w:p>
    <w:p w14:paraId="014B4DD5" w14:textId="77777777" w:rsidR="00BF3B4F" w:rsidRDefault="00BF3B4F" w:rsidP="00BF3B4F">
      <w:r>
        <w:t>The Board notes its appreciation for the contributions made by Stakeholders including the Advisory Panel members to the Board’s work during 201</w:t>
      </w:r>
      <w:r w:rsidR="00D210C9">
        <w:t>8</w:t>
      </w:r>
      <w:r w:rsidR="00D210C9">
        <w:noBreakHyphen/>
        <w:t>19</w:t>
      </w:r>
      <w:r>
        <w:t>.</w:t>
      </w:r>
    </w:p>
    <w:p w14:paraId="40F58C51" w14:textId="77777777" w:rsidR="00D210C9" w:rsidRDefault="00D210C9" w:rsidP="00D210C9">
      <w:pPr>
        <w:pStyle w:val="Heading3"/>
      </w:pPr>
      <w:r>
        <w:t>Board meetings</w:t>
      </w:r>
    </w:p>
    <w:p w14:paraId="2714D226" w14:textId="77777777" w:rsidR="00D210C9" w:rsidRDefault="00D210C9" w:rsidP="00D210C9">
      <w:r w:rsidRPr="00D210C9">
        <w:t xml:space="preserve">The Board met as a whole on </w:t>
      </w:r>
      <w:r>
        <w:t>10</w:t>
      </w:r>
      <w:r w:rsidRPr="00D210C9">
        <w:t xml:space="preserve"> occasions during 201</w:t>
      </w:r>
      <w:r>
        <w:t>8</w:t>
      </w:r>
      <w:r>
        <w:noBreakHyphen/>
        <w:t>19</w:t>
      </w:r>
      <w:r w:rsidRPr="00D210C9">
        <w:t xml:space="preserve">, as shown in Table 1, at varying locations. Details of Board members’ attendance at meetings are provided at Appendix </w:t>
      </w:r>
      <w:r>
        <w:t>E</w:t>
      </w:r>
      <w:r w:rsidRPr="00D210C9">
        <w:t>.</w:t>
      </w:r>
    </w:p>
    <w:p w14:paraId="64CECF1F" w14:textId="77777777" w:rsidR="00D210C9" w:rsidRDefault="00D210C9" w:rsidP="00D210C9">
      <w:pPr>
        <w:pStyle w:val="TableMainHeading"/>
      </w:pPr>
      <w:bookmarkStart w:id="15" w:name="_Toc27652714"/>
      <w:r>
        <w:t>Table 1: Board meetings, 2018</w:t>
      </w:r>
      <w:r>
        <w:noBreakHyphen/>
        <w:t>19</w:t>
      </w:r>
      <w:bookmarkEnd w:id="15"/>
    </w:p>
    <w:tbl>
      <w:tblPr>
        <w:tblStyle w:val="TableGrid"/>
        <w:tblW w:w="0" w:type="auto"/>
        <w:tblLook w:val="04A0" w:firstRow="1" w:lastRow="0" w:firstColumn="1" w:lastColumn="0" w:noHBand="0" w:noVBand="1"/>
      </w:tblPr>
      <w:tblGrid>
        <w:gridCol w:w="4248"/>
        <w:gridCol w:w="4249"/>
      </w:tblGrid>
      <w:tr w:rsidR="00360A95" w14:paraId="19300E56" w14:textId="77777777" w:rsidTr="0000362E">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3F6294"/>
            </w:tcBorders>
          </w:tcPr>
          <w:p w14:paraId="6CECD7DD" w14:textId="77777777" w:rsidR="00360A95" w:rsidRDefault="00360A95" w:rsidP="00360A95">
            <w:pPr>
              <w:pStyle w:val="TableColumnHeadingCentred"/>
            </w:pPr>
            <w:r>
              <w:t>Date</w:t>
            </w:r>
          </w:p>
        </w:tc>
        <w:tc>
          <w:tcPr>
            <w:tcW w:w="4249" w:type="dxa"/>
            <w:tcBorders>
              <w:bottom w:val="single" w:sz="4" w:space="0" w:color="3F6294"/>
            </w:tcBorders>
          </w:tcPr>
          <w:p w14:paraId="55221FF0" w14:textId="77777777" w:rsidR="00360A95" w:rsidRDefault="00360A95" w:rsidP="00360A95">
            <w:pPr>
              <w:pStyle w:val="TableColumnHeadingCentred"/>
            </w:pPr>
            <w:r>
              <w:t>Location</w:t>
            </w:r>
          </w:p>
        </w:tc>
      </w:tr>
      <w:tr w:rsidR="00360A95" w14:paraId="3EE04854" w14:textId="77777777" w:rsidTr="0000362E">
        <w:tc>
          <w:tcPr>
            <w:tcW w:w="4248" w:type="dxa"/>
            <w:tcBorders>
              <w:top w:val="single" w:sz="4" w:space="0" w:color="3F6294"/>
              <w:left w:val="nil"/>
              <w:bottom w:val="single" w:sz="4" w:space="0" w:color="3F6294"/>
              <w:right w:val="nil"/>
            </w:tcBorders>
            <w:shd w:val="clear" w:color="auto" w:fill="auto"/>
          </w:tcPr>
          <w:p w14:paraId="63A2AC0B" w14:textId="77777777" w:rsidR="00360A95" w:rsidRDefault="00224511" w:rsidP="000F2BDB">
            <w:pPr>
              <w:pStyle w:val="TableTextRight"/>
            </w:pPr>
            <w:r>
              <w:t>5 July 2018</w:t>
            </w:r>
          </w:p>
        </w:tc>
        <w:tc>
          <w:tcPr>
            <w:tcW w:w="4249" w:type="dxa"/>
            <w:tcBorders>
              <w:top w:val="single" w:sz="4" w:space="0" w:color="3F6294"/>
              <w:left w:val="nil"/>
              <w:bottom w:val="single" w:sz="4" w:space="0" w:color="3F6294"/>
              <w:right w:val="nil"/>
            </w:tcBorders>
            <w:shd w:val="clear" w:color="auto" w:fill="auto"/>
          </w:tcPr>
          <w:p w14:paraId="72AF01AD" w14:textId="77777777" w:rsidR="00360A95" w:rsidRPr="000F2BDB" w:rsidRDefault="00224511" w:rsidP="000F2BDB">
            <w:pPr>
              <w:pStyle w:val="TableTextCentered"/>
            </w:pPr>
            <w:r>
              <w:t>Melbourne</w:t>
            </w:r>
          </w:p>
        </w:tc>
      </w:tr>
      <w:tr w:rsidR="00360A95" w14:paraId="2344A131" w14:textId="77777777" w:rsidTr="0000362E">
        <w:tc>
          <w:tcPr>
            <w:tcW w:w="4248" w:type="dxa"/>
            <w:tcBorders>
              <w:top w:val="single" w:sz="4" w:space="0" w:color="3F6294"/>
              <w:left w:val="nil"/>
              <w:bottom w:val="single" w:sz="4" w:space="0" w:color="3F6294"/>
              <w:right w:val="nil"/>
            </w:tcBorders>
            <w:shd w:val="clear" w:color="auto" w:fill="auto"/>
          </w:tcPr>
          <w:p w14:paraId="3D43895F" w14:textId="77777777" w:rsidR="00360A95" w:rsidRDefault="0000362E" w:rsidP="000F2BDB">
            <w:pPr>
              <w:pStyle w:val="TableTextRight"/>
            </w:pPr>
            <w:r>
              <w:t>8 August 2018</w:t>
            </w:r>
          </w:p>
        </w:tc>
        <w:tc>
          <w:tcPr>
            <w:tcW w:w="4249" w:type="dxa"/>
            <w:tcBorders>
              <w:top w:val="single" w:sz="4" w:space="0" w:color="3F6294"/>
              <w:left w:val="nil"/>
              <w:bottom w:val="single" w:sz="4" w:space="0" w:color="3F6294"/>
              <w:right w:val="nil"/>
            </w:tcBorders>
            <w:shd w:val="clear" w:color="auto" w:fill="auto"/>
          </w:tcPr>
          <w:p w14:paraId="62F9C698" w14:textId="77777777" w:rsidR="00360A95" w:rsidRPr="000F2BDB" w:rsidRDefault="0000362E" w:rsidP="000F2BDB">
            <w:pPr>
              <w:pStyle w:val="TableTextCentered"/>
            </w:pPr>
            <w:r>
              <w:t>Adelaide</w:t>
            </w:r>
          </w:p>
        </w:tc>
      </w:tr>
      <w:tr w:rsidR="00360A95" w14:paraId="51C88FF6" w14:textId="77777777" w:rsidTr="0000362E">
        <w:tc>
          <w:tcPr>
            <w:tcW w:w="4248" w:type="dxa"/>
            <w:tcBorders>
              <w:top w:val="single" w:sz="4" w:space="0" w:color="3F6294"/>
              <w:left w:val="nil"/>
              <w:bottom w:val="single" w:sz="4" w:space="0" w:color="3F6294"/>
              <w:right w:val="nil"/>
            </w:tcBorders>
            <w:shd w:val="clear" w:color="auto" w:fill="auto"/>
          </w:tcPr>
          <w:p w14:paraId="1AE8A4D4" w14:textId="77777777" w:rsidR="00360A95" w:rsidRDefault="0000362E" w:rsidP="000F2BDB">
            <w:pPr>
              <w:pStyle w:val="TableTextRight"/>
            </w:pPr>
            <w:r>
              <w:t>13 September 2018</w:t>
            </w:r>
          </w:p>
        </w:tc>
        <w:tc>
          <w:tcPr>
            <w:tcW w:w="4249" w:type="dxa"/>
            <w:tcBorders>
              <w:top w:val="single" w:sz="4" w:space="0" w:color="3F6294"/>
              <w:left w:val="nil"/>
              <w:bottom w:val="single" w:sz="4" w:space="0" w:color="3F6294"/>
              <w:right w:val="nil"/>
            </w:tcBorders>
            <w:shd w:val="clear" w:color="auto" w:fill="auto"/>
          </w:tcPr>
          <w:p w14:paraId="6A080C30" w14:textId="77777777" w:rsidR="00360A95" w:rsidRPr="000F2BDB" w:rsidRDefault="0000362E" w:rsidP="000F2BDB">
            <w:pPr>
              <w:pStyle w:val="TableTextCentered"/>
            </w:pPr>
            <w:r>
              <w:t>Sydney</w:t>
            </w:r>
          </w:p>
        </w:tc>
      </w:tr>
      <w:tr w:rsidR="00360A95" w14:paraId="7229D616" w14:textId="77777777" w:rsidTr="0000362E">
        <w:tc>
          <w:tcPr>
            <w:tcW w:w="4248" w:type="dxa"/>
            <w:tcBorders>
              <w:top w:val="single" w:sz="4" w:space="0" w:color="3F6294"/>
              <w:left w:val="nil"/>
              <w:bottom w:val="single" w:sz="4" w:space="0" w:color="3F6294"/>
              <w:right w:val="nil"/>
            </w:tcBorders>
            <w:shd w:val="clear" w:color="auto" w:fill="auto"/>
          </w:tcPr>
          <w:p w14:paraId="1647BA3E" w14:textId="77777777" w:rsidR="00360A95" w:rsidRDefault="0000362E" w:rsidP="000F2BDB">
            <w:pPr>
              <w:pStyle w:val="TableTextRight"/>
            </w:pPr>
            <w:r>
              <w:t>18 October 2018</w:t>
            </w:r>
          </w:p>
        </w:tc>
        <w:tc>
          <w:tcPr>
            <w:tcW w:w="4249" w:type="dxa"/>
            <w:tcBorders>
              <w:top w:val="single" w:sz="4" w:space="0" w:color="3F6294"/>
              <w:left w:val="nil"/>
              <w:bottom w:val="single" w:sz="4" w:space="0" w:color="3F6294"/>
              <w:right w:val="nil"/>
            </w:tcBorders>
            <w:shd w:val="clear" w:color="auto" w:fill="auto"/>
          </w:tcPr>
          <w:p w14:paraId="58C0A940" w14:textId="77777777" w:rsidR="00360A95" w:rsidRPr="000F2BDB" w:rsidRDefault="0000362E" w:rsidP="000F2BDB">
            <w:pPr>
              <w:pStyle w:val="TableTextCentered"/>
            </w:pPr>
            <w:r>
              <w:t>Perth</w:t>
            </w:r>
          </w:p>
        </w:tc>
      </w:tr>
      <w:tr w:rsidR="00360A95" w14:paraId="493B21CA" w14:textId="77777777" w:rsidTr="0000362E">
        <w:tc>
          <w:tcPr>
            <w:tcW w:w="4248" w:type="dxa"/>
            <w:tcBorders>
              <w:top w:val="single" w:sz="4" w:space="0" w:color="3F6294"/>
              <w:left w:val="nil"/>
              <w:bottom w:val="single" w:sz="4" w:space="0" w:color="3F6294"/>
              <w:right w:val="nil"/>
            </w:tcBorders>
            <w:shd w:val="clear" w:color="auto" w:fill="auto"/>
          </w:tcPr>
          <w:p w14:paraId="4A070207" w14:textId="77777777" w:rsidR="00360A95" w:rsidRDefault="0000362E" w:rsidP="000F2BDB">
            <w:pPr>
              <w:pStyle w:val="TableTextRight"/>
            </w:pPr>
            <w:r>
              <w:lastRenderedPageBreak/>
              <w:t>15 November 2018</w:t>
            </w:r>
          </w:p>
        </w:tc>
        <w:tc>
          <w:tcPr>
            <w:tcW w:w="4249" w:type="dxa"/>
            <w:tcBorders>
              <w:top w:val="single" w:sz="4" w:space="0" w:color="3F6294"/>
              <w:left w:val="nil"/>
              <w:bottom w:val="single" w:sz="4" w:space="0" w:color="3F6294"/>
              <w:right w:val="nil"/>
            </w:tcBorders>
            <w:shd w:val="clear" w:color="auto" w:fill="auto"/>
          </w:tcPr>
          <w:p w14:paraId="09E5A016" w14:textId="77777777" w:rsidR="00360A95" w:rsidRPr="000F2BDB" w:rsidRDefault="0000362E" w:rsidP="000F2BDB">
            <w:pPr>
              <w:pStyle w:val="TableTextCentered"/>
            </w:pPr>
            <w:r>
              <w:t>Melbourne</w:t>
            </w:r>
          </w:p>
        </w:tc>
      </w:tr>
      <w:tr w:rsidR="00360A95" w14:paraId="6B104F3A" w14:textId="77777777" w:rsidTr="0000362E">
        <w:tc>
          <w:tcPr>
            <w:tcW w:w="4248" w:type="dxa"/>
            <w:tcBorders>
              <w:top w:val="single" w:sz="4" w:space="0" w:color="3F6294"/>
              <w:left w:val="nil"/>
              <w:bottom w:val="single" w:sz="4" w:space="0" w:color="3F6294"/>
              <w:right w:val="nil"/>
            </w:tcBorders>
            <w:shd w:val="clear" w:color="auto" w:fill="auto"/>
          </w:tcPr>
          <w:p w14:paraId="7C8C2C41" w14:textId="77777777" w:rsidR="00360A95" w:rsidRDefault="0000362E" w:rsidP="000F2BDB">
            <w:pPr>
              <w:pStyle w:val="TableTextRight"/>
            </w:pPr>
            <w:r>
              <w:t>14 December 2018</w:t>
            </w:r>
          </w:p>
        </w:tc>
        <w:tc>
          <w:tcPr>
            <w:tcW w:w="4249" w:type="dxa"/>
            <w:tcBorders>
              <w:top w:val="single" w:sz="4" w:space="0" w:color="3F6294"/>
              <w:left w:val="nil"/>
              <w:bottom w:val="single" w:sz="4" w:space="0" w:color="3F6294"/>
              <w:right w:val="nil"/>
            </w:tcBorders>
            <w:shd w:val="clear" w:color="auto" w:fill="auto"/>
          </w:tcPr>
          <w:p w14:paraId="288AACB4" w14:textId="77777777" w:rsidR="00360A95" w:rsidRPr="000F2BDB" w:rsidRDefault="0000362E" w:rsidP="000F2BDB">
            <w:pPr>
              <w:pStyle w:val="TableTextCentered"/>
            </w:pPr>
            <w:r>
              <w:t>Sydney</w:t>
            </w:r>
          </w:p>
        </w:tc>
      </w:tr>
      <w:tr w:rsidR="00360A95" w14:paraId="3D0B9F92" w14:textId="77777777" w:rsidTr="0000362E">
        <w:tc>
          <w:tcPr>
            <w:tcW w:w="4248" w:type="dxa"/>
            <w:tcBorders>
              <w:top w:val="single" w:sz="4" w:space="0" w:color="3F6294"/>
              <w:left w:val="nil"/>
              <w:bottom w:val="single" w:sz="4" w:space="0" w:color="3F6294"/>
              <w:right w:val="nil"/>
            </w:tcBorders>
            <w:shd w:val="clear" w:color="auto" w:fill="auto"/>
          </w:tcPr>
          <w:p w14:paraId="6BBC5C1A" w14:textId="77777777" w:rsidR="00360A95" w:rsidRDefault="000F2BDB" w:rsidP="000F2BDB">
            <w:pPr>
              <w:pStyle w:val="TableTextRight"/>
            </w:pPr>
            <w:r>
              <w:t>13 February 2019</w:t>
            </w:r>
          </w:p>
        </w:tc>
        <w:tc>
          <w:tcPr>
            <w:tcW w:w="4249" w:type="dxa"/>
            <w:tcBorders>
              <w:top w:val="single" w:sz="4" w:space="0" w:color="3F6294"/>
              <w:left w:val="nil"/>
              <w:bottom w:val="single" w:sz="4" w:space="0" w:color="3F6294"/>
              <w:right w:val="nil"/>
            </w:tcBorders>
            <w:shd w:val="clear" w:color="auto" w:fill="auto"/>
          </w:tcPr>
          <w:p w14:paraId="34265159" w14:textId="77777777" w:rsidR="00360A95" w:rsidRPr="000F2BDB" w:rsidRDefault="000F2BDB" w:rsidP="000F2BDB">
            <w:pPr>
              <w:pStyle w:val="TableTextCentered"/>
            </w:pPr>
            <w:r w:rsidRPr="000F2BDB">
              <w:t>Melbourne</w:t>
            </w:r>
          </w:p>
        </w:tc>
      </w:tr>
      <w:tr w:rsidR="000F2BDB" w14:paraId="1EFFB3F4" w14:textId="77777777" w:rsidTr="0000362E">
        <w:tc>
          <w:tcPr>
            <w:tcW w:w="4248" w:type="dxa"/>
            <w:tcBorders>
              <w:top w:val="single" w:sz="4" w:space="0" w:color="3F6294"/>
              <w:left w:val="nil"/>
              <w:bottom w:val="single" w:sz="4" w:space="0" w:color="3F6294"/>
              <w:right w:val="nil"/>
            </w:tcBorders>
            <w:shd w:val="clear" w:color="auto" w:fill="auto"/>
          </w:tcPr>
          <w:p w14:paraId="01F56E86" w14:textId="77777777" w:rsidR="000F2BDB" w:rsidRDefault="000F2BDB" w:rsidP="000F2BDB">
            <w:pPr>
              <w:pStyle w:val="TableTextRight"/>
            </w:pPr>
            <w:r>
              <w:t>14 March 2019</w:t>
            </w:r>
          </w:p>
        </w:tc>
        <w:tc>
          <w:tcPr>
            <w:tcW w:w="4249" w:type="dxa"/>
            <w:tcBorders>
              <w:top w:val="single" w:sz="4" w:space="0" w:color="3F6294"/>
              <w:left w:val="nil"/>
              <w:bottom w:val="single" w:sz="4" w:space="0" w:color="3F6294"/>
              <w:right w:val="nil"/>
            </w:tcBorders>
            <w:shd w:val="clear" w:color="auto" w:fill="auto"/>
          </w:tcPr>
          <w:p w14:paraId="3F9DACEC" w14:textId="77777777" w:rsidR="000F2BDB" w:rsidRPr="000F2BDB" w:rsidRDefault="000F2BDB" w:rsidP="000F2BDB">
            <w:pPr>
              <w:pStyle w:val="TableTextCentered"/>
            </w:pPr>
            <w:r w:rsidRPr="000F2BDB">
              <w:t>Sydney</w:t>
            </w:r>
          </w:p>
        </w:tc>
      </w:tr>
      <w:tr w:rsidR="000F2BDB" w14:paraId="6A8E22EB" w14:textId="77777777" w:rsidTr="0000362E">
        <w:tc>
          <w:tcPr>
            <w:tcW w:w="4248" w:type="dxa"/>
            <w:tcBorders>
              <w:top w:val="single" w:sz="4" w:space="0" w:color="3F6294"/>
              <w:left w:val="nil"/>
              <w:bottom w:val="single" w:sz="4" w:space="0" w:color="3F6294"/>
              <w:right w:val="nil"/>
            </w:tcBorders>
            <w:shd w:val="clear" w:color="auto" w:fill="auto"/>
          </w:tcPr>
          <w:p w14:paraId="52A7566E" w14:textId="77777777" w:rsidR="000F2BDB" w:rsidRDefault="000F2BDB" w:rsidP="000F2BDB">
            <w:pPr>
              <w:pStyle w:val="TableTextRight"/>
            </w:pPr>
            <w:r>
              <w:t>11 April 2019</w:t>
            </w:r>
          </w:p>
        </w:tc>
        <w:tc>
          <w:tcPr>
            <w:tcW w:w="4249" w:type="dxa"/>
            <w:tcBorders>
              <w:top w:val="single" w:sz="4" w:space="0" w:color="3F6294"/>
              <w:left w:val="nil"/>
              <w:bottom w:val="single" w:sz="4" w:space="0" w:color="3F6294"/>
              <w:right w:val="nil"/>
            </w:tcBorders>
            <w:shd w:val="clear" w:color="auto" w:fill="auto"/>
          </w:tcPr>
          <w:p w14:paraId="78AB9C0A" w14:textId="77777777" w:rsidR="000F2BDB" w:rsidRPr="000F2BDB" w:rsidRDefault="000F2BDB" w:rsidP="000F2BDB">
            <w:pPr>
              <w:pStyle w:val="TableTextCentered"/>
            </w:pPr>
            <w:r>
              <w:t>Brisbane</w:t>
            </w:r>
          </w:p>
        </w:tc>
      </w:tr>
      <w:tr w:rsidR="000F2BDB" w14:paraId="1E1BFEA7" w14:textId="77777777" w:rsidTr="0000362E">
        <w:tc>
          <w:tcPr>
            <w:tcW w:w="4248" w:type="dxa"/>
            <w:tcBorders>
              <w:top w:val="single" w:sz="4" w:space="0" w:color="3F6294"/>
              <w:left w:val="nil"/>
              <w:bottom w:val="single" w:sz="4" w:space="0" w:color="3F6294"/>
              <w:right w:val="nil"/>
            </w:tcBorders>
            <w:shd w:val="clear" w:color="auto" w:fill="auto"/>
          </w:tcPr>
          <w:p w14:paraId="69DE71CD" w14:textId="77777777" w:rsidR="000F2BDB" w:rsidRDefault="000F2BDB" w:rsidP="000F2BDB">
            <w:pPr>
              <w:pStyle w:val="TableTextRight"/>
            </w:pPr>
            <w:r>
              <w:t>30 May 2019</w:t>
            </w:r>
          </w:p>
        </w:tc>
        <w:tc>
          <w:tcPr>
            <w:tcW w:w="4249" w:type="dxa"/>
            <w:tcBorders>
              <w:top w:val="single" w:sz="4" w:space="0" w:color="3F6294"/>
              <w:left w:val="nil"/>
              <w:bottom w:val="single" w:sz="4" w:space="0" w:color="3F6294"/>
              <w:right w:val="nil"/>
            </w:tcBorders>
            <w:shd w:val="clear" w:color="auto" w:fill="auto"/>
          </w:tcPr>
          <w:p w14:paraId="15C0BCE9" w14:textId="77777777" w:rsidR="000F2BDB" w:rsidRDefault="0000362E" w:rsidP="000F2BDB">
            <w:pPr>
              <w:pStyle w:val="TableTextCentered"/>
            </w:pPr>
            <w:r>
              <w:t>Can</w:t>
            </w:r>
            <w:r w:rsidR="000F2BDB">
              <w:t>berra</w:t>
            </w:r>
          </w:p>
        </w:tc>
      </w:tr>
    </w:tbl>
    <w:p w14:paraId="33051580" w14:textId="77777777" w:rsidR="00D210C9" w:rsidRDefault="00D210C9" w:rsidP="00D210C9">
      <w:pPr>
        <w:pStyle w:val="TableGraphic"/>
      </w:pPr>
    </w:p>
    <w:p w14:paraId="65169841" w14:textId="77777777" w:rsidR="0000362E" w:rsidRDefault="0000362E" w:rsidP="0000362E">
      <w:pPr>
        <w:pStyle w:val="Heading3"/>
      </w:pPr>
      <w:r>
        <w:t>Project consultation</w:t>
      </w:r>
    </w:p>
    <w:p w14:paraId="2EDBDDC4" w14:textId="77777777" w:rsidR="0000362E" w:rsidRDefault="0000362E" w:rsidP="0000362E">
      <w:r>
        <w:t>The Board generally conducts its projects by appointing working groups comprising members of the Board, Advisory Panel members or other relevant experts, consultants and officers from the Treasury and the ATO.</w:t>
      </w:r>
    </w:p>
    <w:p w14:paraId="43D76E1C" w14:textId="77777777" w:rsidR="00874B10" w:rsidRDefault="0000362E" w:rsidP="0000362E">
      <w:r>
        <w:t>A list of working groups for 201</w:t>
      </w:r>
      <w:r w:rsidR="00874B10">
        <w:t>8</w:t>
      </w:r>
      <w:r w:rsidR="00874B10">
        <w:noBreakHyphen/>
        <w:t>19</w:t>
      </w:r>
      <w:r>
        <w:t xml:space="preserve">, and the Board members appointed to each working group, is provided at Appendix </w:t>
      </w:r>
      <w:r w:rsidR="00874B10">
        <w:t>D</w:t>
      </w:r>
      <w:r>
        <w:t>. Each of these working groups met o</w:t>
      </w:r>
      <w:r w:rsidR="00874B10">
        <w:t>n numerous occasions during 2018</w:t>
      </w:r>
      <w:r w:rsidR="00874B10">
        <w:noBreakHyphen/>
        <w:t>19</w:t>
      </w:r>
      <w:r>
        <w:t xml:space="preserve"> and engaged in consultation in relation to the projects</w:t>
      </w:r>
      <w:r w:rsidR="00874B10">
        <w:t xml:space="preserve">. </w:t>
      </w:r>
    </w:p>
    <w:p w14:paraId="3AA81412" w14:textId="3A075D1C" w:rsidR="00A60B91" w:rsidRDefault="00411A1D" w:rsidP="0000362E">
      <w:r>
        <w:t>Working groups may publish consultation guides calling for public submissions and hold roundtable discussions with stakeholders in order to canvass views</w:t>
      </w:r>
      <w:r w:rsidR="00A60B91">
        <w:t xml:space="preserve"> and ideas</w:t>
      </w:r>
      <w:r>
        <w:t xml:space="preserve">. During </w:t>
      </w:r>
      <w:r w:rsidR="006A3C44">
        <w:t>2018</w:t>
      </w:r>
      <w:r w:rsidR="006A3C44">
        <w:noBreakHyphen/>
        <w:t>19,</w:t>
      </w:r>
      <w:r>
        <w:t xml:space="preserve"> the Board conducted roundtable discussions</w:t>
      </w:r>
      <w:r w:rsidR="000E0AEA">
        <w:t xml:space="preserve"> and </w:t>
      </w:r>
      <w:r w:rsidR="000E7A39">
        <w:t xml:space="preserve">targeted </w:t>
      </w:r>
      <w:r w:rsidR="000E0AEA">
        <w:t>consultations</w:t>
      </w:r>
      <w:r>
        <w:t xml:space="preserve"> in</w:t>
      </w:r>
      <w:r w:rsidR="000E0AEA">
        <w:t xml:space="preserve"> </w:t>
      </w:r>
      <w:r w:rsidR="000E7A39">
        <w:t xml:space="preserve">Adelaide, </w:t>
      </w:r>
      <w:r w:rsidR="000E0AEA">
        <w:t>Brisbane, Melbourne, Perth and</w:t>
      </w:r>
      <w:r>
        <w:t xml:space="preserve"> Sydney across a number of projects.</w:t>
      </w:r>
      <w:r w:rsidR="00A60B91">
        <w:t xml:space="preserve"> The Board typically publishes written submissions (except for those provided confidentially) on publication of the relevant report.</w:t>
      </w:r>
    </w:p>
    <w:p w14:paraId="5D16BF98" w14:textId="77777777" w:rsidR="0000362E" w:rsidRDefault="00A60B91" w:rsidP="00A60B91">
      <w:pPr>
        <w:pStyle w:val="Heading3"/>
      </w:pPr>
      <w:r>
        <w:t>Advisory Panel</w:t>
      </w:r>
    </w:p>
    <w:p w14:paraId="4CC107E1" w14:textId="56A50629" w:rsidR="00A60B91" w:rsidRDefault="00A60B91" w:rsidP="00A60B91">
      <w:r>
        <w:t xml:space="preserve">In July 2002, the Board established an Advisory Panel to assist it in the general performance of its role. The Panel currently comprises </w:t>
      </w:r>
      <w:r w:rsidR="0029440C">
        <w:t>57</w:t>
      </w:r>
      <w:r>
        <w:t xml:space="preserve"> taxation specialists who have agreed to assist the Board, on a voluntary basis, with its work. Panel members are appointed based on their individual capabilities and expertise, and not as representatives of particular interests.</w:t>
      </w:r>
    </w:p>
    <w:p w14:paraId="24581E87" w14:textId="135413B3" w:rsidR="00A60B91" w:rsidRDefault="00A60B91" w:rsidP="00A60B91">
      <w:r>
        <w:t xml:space="preserve">The Panel </w:t>
      </w:r>
      <w:r w:rsidR="009D17B8">
        <w:t xml:space="preserve">contributes </w:t>
      </w:r>
      <w:r>
        <w:t xml:space="preserve">an additional source of </w:t>
      </w:r>
      <w:r w:rsidR="009D17B8">
        <w:t>technical</w:t>
      </w:r>
      <w:r w:rsidR="0082046C">
        <w:t xml:space="preserve"> expertise</w:t>
      </w:r>
      <w:r w:rsidR="009D17B8">
        <w:t xml:space="preserve"> and commercial experience for the Board to draw on in undertaking its work</w:t>
      </w:r>
      <w:r w:rsidR="0082046C">
        <w:t>,</w:t>
      </w:r>
      <w:r w:rsidR="009D17B8">
        <w:t xml:space="preserve"> </w:t>
      </w:r>
      <w:r w:rsidR="0082046C">
        <w:t xml:space="preserve">and complements the contribution </w:t>
      </w:r>
      <w:r>
        <w:t>provided by business, professional and other community representative organisations with which the Board has developed close working relationships. The Board met Advisory Panel members on a number of occasions during 2018</w:t>
      </w:r>
      <w:r>
        <w:noBreakHyphen/>
        <w:t xml:space="preserve">19 to discuss Board projects and general issues associated with the integrity and functioning of the tax system. </w:t>
      </w:r>
    </w:p>
    <w:p w14:paraId="6397E813" w14:textId="77777777" w:rsidR="00A12846" w:rsidRDefault="00A60B91" w:rsidP="00A60B91">
      <w:r>
        <w:t xml:space="preserve">The Board commenced a process of renewal </w:t>
      </w:r>
      <w:r w:rsidR="00A12846">
        <w:t>of Panel membership during the 2018</w:t>
      </w:r>
      <w:r w:rsidR="00A12846">
        <w:noBreakHyphen/>
        <w:t>19 year and expects to add new members in 2020.</w:t>
      </w:r>
    </w:p>
    <w:p w14:paraId="55AF023C" w14:textId="77777777" w:rsidR="00A60B91" w:rsidRDefault="00A60B91" w:rsidP="00A60B91">
      <w:r>
        <w:t>Pan</w:t>
      </w:r>
      <w:r w:rsidR="00A12846">
        <w:t>el membership as at 30 June 2019</w:t>
      </w:r>
      <w:r>
        <w:t xml:space="preserve"> is set out at Appendix </w:t>
      </w:r>
      <w:r w:rsidR="00A12846">
        <w:t>F</w:t>
      </w:r>
      <w:r>
        <w:t>.</w:t>
      </w:r>
    </w:p>
    <w:p w14:paraId="35F58FC3" w14:textId="77777777" w:rsidR="00DE0A9B" w:rsidRDefault="00DE0A9B" w:rsidP="00DE0A9B">
      <w:pPr>
        <w:pStyle w:val="Heading3"/>
      </w:pPr>
      <w:r>
        <w:lastRenderedPageBreak/>
        <w:t>Assistance provided for the Board’s reviews</w:t>
      </w:r>
    </w:p>
    <w:p w14:paraId="28990F1F" w14:textId="77777777" w:rsidR="00DE0A9B" w:rsidRDefault="00DE0A9B" w:rsidP="00DE0A9B">
      <w:r>
        <w:t>The Board draws substantially on work undertaken by officers of the Treasury and ATO when conducting its reviews. As such, the Board wishes to record its appreciation for the extensive assistance provided by the Treasury and ATO officers involved in the Board’s work during the 2018</w:t>
      </w:r>
      <w:r>
        <w:noBreakHyphen/>
        <w:t>19 year.</w:t>
      </w:r>
    </w:p>
    <w:p w14:paraId="12E5E597" w14:textId="2911EEBF" w:rsidR="00DE0A9B" w:rsidRPr="00DE0A9B" w:rsidRDefault="00DE0A9B" w:rsidP="00DE0A9B">
      <w:r>
        <w:t>The Board was also assisted with its projects by experts from the private sector and academia during the 2018</w:t>
      </w:r>
      <w:r>
        <w:noBreakHyphen/>
        <w:t>19 year, and wishes to record its appreciation for their assistance. The Board looks forward to continuing these productive working relationships in 2019</w:t>
      </w:r>
      <w:r>
        <w:noBreakHyphen/>
        <w:t>20.</w:t>
      </w:r>
    </w:p>
    <w:p w14:paraId="18A596B8" w14:textId="77777777" w:rsidR="000A3BE2" w:rsidRDefault="000A3BE2" w:rsidP="000A3BE2">
      <w:pPr>
        <w:pStyle w:val="Heading1"/>
      </w:pPr>
      <w:bookmarkStart w:id="16" w:name="_Toc27652702"/>
      <w:r>
        <w:lastRenderedPageBreak/>
        <w:t>The Year ahead</w:t>
      </w:r>
      <w:bookmarkEnd w:id="16"/>
    </w:p>
    <w:p w14:paraId="2393C18D" w14:textId="32AC67EC" w:rsidR="000B241D" w:rsidRDefault="00951E40" w:rsidP="000A3BE2">
      <w:r>
        <w:t>During the 2019</w:t>
      </w:r>
      <w:r>
        <w:noBreakHyphen/>
        <w:t>20 year, the Board will continue to focus on providing policy advice to the government in ‘real</w:t>
      </w:r>
      <w:r>
        <w:noBreakHyphen/>
        <w:t xml:space="preserve">time’. </w:t>
      </w:r>
    </w:p>
    <w:p w14:paraId="1B9512C7" w14:textId="42F8B612" w:rsidR="00E83DAE" w:rsidRDefault="004720D9" w:rsidP="00E63E26">
      <w:r>
        <w:t>T</w:t>
      </w:r>
      <w:r w:rsidR="00B249C8">
        <w:t>he Board intends to focus on the areas outlined in Chapter 2</w:t>
      </w:r>
      <w:r w:rsidR="000E071D">
        <w:t xml:space="preserve"> in addition to </w:t>
      </w:r>
      <w:r w:rsidR="000E071D" w:rsidRPr="000E071D">
        <w:t xml:space="preserve">any other matters referred to it by the </w:t>
      </w:r>
      <w:r w:rsidR="000E7A39">
        <w:t>m</w:t>
      </w:r>
      <w:r w:rsidR="000E071D" w:rsidRPr="000E071D">
        <w:t>inister during the course of the year.</w:t>
      </w:r>
      <w:r w:rsidR="000E071D">
        <w:t xml:space="preserve"> </w:t>
      </w:r>
    </w:p>
    <w:p w14:paraId="2FA4786E" w14:textId="47A9E764" w:rsidR="000A3BE2" w:rsidRDefault="000E071D" w:rsidP="00E63E26">
      <w:r>
        <w:t xml:space="preserve">In August 2019 the Treasurer </w:t>
      </w:r>
      <w:r w:rsidRPr="000E071D">
        <w:t>wrote to the Board asking the Board to conduct a review of the operation of Australia’s corporate tax residency rules. The purpose of the review is to ensure that the rules are operating appropriately in light of modern, international and commercial board practices and international tax integrity rules.</w:t>
      </w:r>
      <w:r w:rsidR="00CB3370">
        <w:t xml:space="preserve"> </w:t>
      </w:r>
      <w:r>
        <w:t xml:space="preserve">The Board </w:t>
      </w:r>
      <w:r w:rsidR="00CB3370">
        <w:t>expects to finalise this review in early 2020.</w:t>
      </w:r>
      <w:r w:rsidR="00076691">
        <w:t xml:space="preserve"> </w:t>
      </w:r>
    </w:p>
    <w:p w14:paraId="1FB36AC5" w14:textId="58363BEC" w:rsidR="00E63E26" w:rsidRDefault="000E7A39" w:rsidP="00237B01">
      <w:r>
        <w:t>In December 2019, the Minister for Housing and Assistant Treasurer</w:t>
      </w:r>
      <w:r w:rsidR="0096135E">
        <w:t xml:space="preserve"> wrote to the Board asking the Board to conduct a review of the capital gains tax roll-over rules.  The purpose of the review is to identify and evaluate opportunities to rationalise the existing capital </w:t>
      </w:r>
      <w:r w:rsidR="00B67102">
        <w:t>gains tax roll</w:t>
      </w:r>
      <w:r w:rsidR="00B67102">
        <w:noBreakHyphen/>
        <w:t>overs and associated provisions into a simplified set that have a substantially similar practical effect, but are easier to use and interpret.</w:t>
      </w:r>
    </w:p>
    <w:p w14:paraId="53ACE82E" w14:textId="4A7E260B" w:rsidR="000B241D" w:rsidRDefault="000B241D" w:rsidP="000A3BE2">
      <w:r>
        <w:t xml:space="preserve">The Board will continue to maintain a close watching brief </w:t>
      </w:r>
      <w:r w:rsidR="00E50FE0">
        <w:t xml:space="preserve">on the </w:t>
      </w:r>
      <w:r w:rsidR="00E50FE0" w:rsidRPr="00E50FE0">
        <w:t>international developments on the taxation of the digital economy</w:t>
      </w:r>
      <w:r w:rsidR="00E50FE0">
        <w:t xml:space="preserve">. </w:t>
      </w:r>
      <w:r w:rsidR="004720D9">
        <w:t>As part of this work, the Board will continue to engage with Treasury and offer the Board’s in</w:t>
      </w:r>
      <w:r w:rsidR="0082046C">
        <w:t>sights</w:t>
      </w:r>
      <w:r w:rsidR="004720D9">
        <w:t xml:space="preserve"> on </w:t>
      </w:r>
      <w:r w:rsidR="0054632E">
        <w:t>proposed changes to the international tax architecture.</w:t>
      </w:r>
    </w:p>
    <w:p w14:paraId="2B540CD8" w14:textId="77777777" w:rsidR="00E50FE0" w:rsidRPr="000A3BE2" w:rsidRDefault="00E50FE0" w:rsidP="000A3BE2">
      <w:r w:rsidRPr="00E50FE0">
        <w:t>The Board will also continue to pursue its objectives as set out in its Charter, including issues relating to the general integrity and functioning of the tax system.</w:t>
      </w:r>
    </w:p>
    <w:p w14:paraId="527D9608" w14:textId="77777777" w:rsidR="00FD684B" w:rsidRDefault="00491B97" w:rsidP="000A3BE2">
      <w:pPr>
        <w:pStyle w:val="Heading1"/>
      </w:pPr>
      <w:bookmarkStart w:id="17" w:name="_Toc27652703"/>
      <w:r>
        <w:lastRenderedPageBreak/>
        <w:t>appendix A: the board’s charter</w:t>
      </w:r>
      <w:bookmarkEnd w:id="17"/>
    </w:p>
    <w:p w14:paraId="36F18966" w14:textId="77777777" w:rsidR="00491B97" w:rsidRDefault="00C36B80" w:rsidP="00C36B80">
      <w:pPr>
        <w:pStyle w:val="Heading2"/>
      </w:pPr>
      <w:bookmarkStart w:id="18" w:name="_Toc27652704"/>
      <w:r>
        <w:t>The Charter</w:t>
      </w:r>
      <w:bookmarkEnd w:id="18"/>
    </w:p>
    <w:p w14:paraId="6B30D562" w14:textId="77777777" w:rsidR="00C36B80" w:rsidRDefault="00C36B80" w:rsidP="00C36B80">
      <w:pPr>
        <w:pStyle w:val="Heading3"/>
      </w:pPr>
      <w:r>
        <w:t>Mission</w:t>
      </w:r>
    </w:p>
    <w:p w14:paraId="4B770DCE" w14:textId="77777777" w:rsidR="00C36B80" w:rsidRDefault="00C36B80" w:rsidP="00C36B80">
      <w:r w:rsidRPr="00C36B80">
        <w:t>Recognising the Government’s responsibility for determining taxation policy and the statutory roles of the Commissioner of Taxation and the Inspector</w:t>
      </w:r>
      <w:r>
        <w:noBreakHyphen/>
      </w:r>
      <w:r w:rsidRPr="00C36B80">
        <w:t>General of Taxation, the Board’s mission is to contribute a business and broader community perspective to improving the design of taxation laws and their operation.</w:t>
      </w:r>
    </w:p>
    <w:p w14:paraId="315985C2" w14:textId="77777777" w:rsidR="00C36B80" w:rsidRDefault="00C36B80" w:rsidP="00C36B80">
      <w:pPr>
        <w:pStyle w:val="Heading3"/>
      </w:pPr>
      <w:r>
        <w:t>Membership</w:t>
      </w:r>
    </w:p>
    <w:p w14:paraId="526D28DC" w14:textId="77777777" w:rsidR="00C36B80" w:rsidRDefault="00C36B80" w:rsidP="00C36B80">
      <w:r>
        <w:t>Members of the Board will be appointed by the Treasurer, for a term of up to three years, on the basis of their personal capacity. It is expected that members will be appointed from within the business and wider community having regard to their ability to contribute at the highest level to the development of the tax system. The Chair will be appointed by the Treasurer from among these members of the Board. If the Treasurer decides to appoint a Deputy Chair, he or she will also be appointed from among these members of the Board. Members may be re</w:t>
      </w:r>
      <w:r>
        <w:noBreakHyphen/>
        <w:t>appointed.</w:t>
      </w:r>
    </w:p>
    <w:p w14:paraId="40C56167" w14:textId="77777777" w:rsidR="00C36B80" w:rsidRDefault="00C36B80" w:rsidP="00C36B80">
      <w:r>
        <w:t>In addition, the Secretary to the Department of the Treasury, the Commissioner of Taxation and the First Parliamentary Counsel will also be members of the Board. Each may be represented by a delegate.</w:t>
      </w:r>
    </w:p>
    <w:p w14:paraId="6F369251" w14:textId="77777777" w:rsidR="00C36B80" w:rsidRDefault="00C36B80" w:rsidP="00C36B80">
      <w:pPr>
        <w:pStyle w:val="Heading3"/>
      </w:pPr>
      <w:r>
        <w:t>Function</w:t>
      </w:r>
    </w:p>
    <w:p w14:paraId="1B982ED4" w14:textId="77777777" w:rsidR="00C36B80" w:rsidRDefault="00C36B80" w:rsidP="00C36B80">
      <w:r>
        <w:t>The Board will provide advice to the Treasurer on:</w:t>
      </w:r>
    </w:p>
    <w:p w14:paraId="3849492B" w14:textId="77777777" w:rsidR="00C36B80" w:rsidRDefault="00C36B80" w:rsidP="00AE7B94">
      <w:pPr>
        <w:pStyle w:val="Bullet"/>
      </w:pPr>
      <w:r>
        <w:t>the quality and effectiveness of tax legislation and the processes for its development, including the processes of community consultation and other aspects of tax design;</w:t>
      </w:r>
    </w:p>
    <w:p w14:paraId="6E88BB67" w14:textId="77777777" w:rsidR="00C36B80" w:rsidRDefault="00C36B80" w:rsidP="00AE7B94">
      <w:pPr>
        <w:pStyle w:val="Bullet"/>
      </w:pPr>
      <w:r>
        <w:t>improvements to the general integrity and functioning of the taxation system;</w:t>
      </w:r>
    </w:p>
    <w:p w14:paraId="0E8A54E2" w14:textId="77777777" w:rsidR="00C36B80" w:rsidRDefault="00C36B80" w:rsidP="00AE7B94">
      <w:pPr>
        <w:pStyle w:val="Bullet"/>
      </w:pPr>
      <w:r>
        <w:t>research and other studies commissioned by the Board on topics approved or referred by the Treasurer; and</w:t>
      </w:r>
    </w:p>
    <w:p w14:paraId="0BB5E57F" w14:textId="56F0D632" w:rsidR="002279FD" w:rsidRDefault="00C36B80" w:rsidP="00AE7B94">
      <w:pPr>
        <w:pStyle w:val="Bullet"/>
      </w:pPr>
      <w:proofErr w:type="gramStart"/>
      <w:r>
        <w:t>other</w:t>
      </w:r>
      <w:proofErr w:type="gramEnd"/>
      <w:r>
        <w:t xml:space="preserve"> taxation matters referred to the Board by the Treasurer.</w:t>
      </w:r>
    </w:p>
    <w:p w14:paraId="1C3654CD" w14:textId="77777777" w:rsidR="00C36B80" w:rsidRDefault="00C36B80" w:rsidP="00C36B80">
      <w:pPr>
        <w:pStyle w:val="Heading3"/>
      </w:pPr>
      <w:r>
        <w:lastRenderedPageBreak/>
        <w:t>Relationship to other boards and bodies</w:t>
      </w:r>
    </w:p>
    <w:p w14:paraId="6B5FFC3C" w14:textId="77777777" w:rsidR="00C36B80" w:rsidRDefault="00C36B80" w:rsidP="00C36B80">
      <w:r>
        <w:t xml:space="preserve">From time to time the Government or the Treasurer may establish other boards or bodies with set terms of reference to </w:t>
      </w:r>
      <w:proofErr w:type="gramStart"/>
      <w:r>
        <w:t>advise</w:t>
      </w:r>
      <w:proofErr w:type="gramEnd"/>
      <w:r>
        <w:t xml:space="preserve"> on particular aspects of the tax law. The Treasurer will advise the Board on a case by case basis of its responsibilities, if any, in respect of issues covered by other boards and bodies.</w:t>
      </w:r>
    </w:p>
    <w:p w14:paraId="5C5C79BD" w14:textId="77777777" w:rsidR="00C36B80" w:rsidRDefault="00C36B80" w:rsidP="00C36B80">
      <w:pPr>
        <w:pStyle w:val="Heading3"/>
      </w:pPr>
      <w:r>
        <w:t>Report</w:t>
      </w:r>
    </w:p>
    <w:p w14:paraId="62B72FE2" w14:textId="77777777" w:rsidR="00C36B80" w:rsidRDefault="00C36B80" w:rsidP="00C36B80">
      <w:r>
        <w:t>The Chair of the Board will report to the Treasurer, at least annually, on the operation of the Board during the year.</w:t>
      </w:r>
    </w:p>
    <w:p w14:paraId="28B4E458" w14:textId="77777777" w:rsidR="00C36B80" w:rsidRDefault="00C36B80" w:rsidP="00C36B80">
      <w:pPr>
        <w:pStyle w:val="Heading3"/>
      </w:pPr>
      <w:r>
        <w:t>Secretariat</w:t>
      </w:r>
    </w:p>
    <w:p w14:paraId="3EA8C562" w14:textId="77777777" w:rsidR="00C36B80" w:rsidRDefault="00C36B80" w:rsidP="00C36B80">
      <w:r>
        <w:t>The Board will be supported by a secretariat provided by the Treasury, but may engage private sector consultants to assist it with its tasks.</w:t>
      </w:r>
    </w:p>
    <w:p w14:paraId="6BA90A07" w14:textId="77777777" w:rsidR="00C36B80" w:rsidRDefault="00C36B80" w:rsidP="00C36B80">
      <w:pPr>
        <w:pStyle w:val="Heading3"/>
      </w:pPr>
      <w:r>
        <w:t>Other</w:t>
      </w:r>
    </w:p>
    <w:p w14:paraId="4EF2AF0B" w14:textId="77777777" w:rsidR="00C36B80" w:rsidRDefault="00C36B80" w:rsidP="00C36B80">
      <w:r>
        <w:t>Members will meet regularly during the year as determined by the Board’s work program and priorities.</w:t>
      </w:r>
    </w:p>
    <w:p w14:paraId="4F32269E" w14:textId="77777777" w:rsidR="00C36B80" w:rsidRDefault="00C36B80" w:rsidP="00C36B80">
      <w:r>
        <w:t>Non</w:t>
      </w:r>
      <w:r>
        <w:noBreakHyphen/>
        <w:t>government members will receive remuneration and allowances to cover travelling and other expenses, at rates in accordance with Remuneration Tribunal determinations for part time public offices.</w:t>
      </w:r>
    </w:p>
    <w:p w14:paraId="52004B45" w14:textId="77777777" w:rsidR="00C36B80" w:rsidRDefault="00C36B80" w:rsidP="00C36B80">
      <w:r>
        <w:t>The Government will determine an annual budget allocation for the Board.</w:t>
      </w:r>
    </w:p>
    <w:p w14:paraId="70548808" w14:textId="77777777" w:rsidR="00894489" w:rsidRDefault="008B4E85" w:rsidP="00894489">
      <w:pPr>
        <w:pStyle w:val="Heading1"/>
      </w:pPr>
      <w:bookmarkStart w:id="19" w:name="_Toc27652705"/>
      <w:r>
        <w:lastRenderedPageBreak/>
        <w:t>appendix b: membership of the Board</w:t>
      </w:r>
      <w:bookmarkEnd w:id="19"/>
    </w:p>
    <w:p w14:paraId="75F37F4F" w14:textId="77777777" w:rsidR="008B4E85" w:rsidRDefault="008B4E85" w:rsidP="008B4E85">
      <w:r>
        <w:t>The Board comprises members appointed by the Treasurer. Private sector members are appointed in their personal capacity from within the business and wider community. The Secretary to the Australian Treasury, the Commissioner of Taxation and the First Parliamentary Counsel are ex</w:t>
      </w:r>
      <w:r>
        <w:noBreakHyphen/>
        <w:t>officio members.</w:t>
      </w:r>
    </w:p>
    <w:p w14:paraId="1967E2D4" w14:textId="77777777" w:rsidR="008B4E85" w:rsidRDefault="008B4E85" w:rsidP="008B4E85">
      <w:r>
        <w:t>The members of the Board during 2018</w:t>
      </w:r>
      <w:r>
        <w:noBreakHyphen/>
        <w:t>19 were:</w:t>
      </w:r>
    </w:p>
    <w:p w14:paraId="41758C7F" w14:textId="77777777" w:rsidR="00683089" w:rsidRDefault="00683089" w:rsidP="008B4E85">
      <w:pPr>
        <w:pStyle w:val="Heading2"/>
      </w:pPr>
      <w:bookmarkStart w:id="20" w:name="_Toc27652706"/>
      <w:r>
        <w:t>Board members</w:t>
      </w:r>
      <w:bookmarkEnd w:id="20"/>
    </w:p>
    <w:p w14:paraId="559BC7CA" w14:textId="77777777" w:rsidR="008B4E85" w:rsidRDefault="0082046C" w:rsidP="00683089">
      <w:pPr>
        <w:pStyle w:val="Heading3"/>
      </w:pPr>
      <w:r>
        <w:t xml:space="preserve">Former </w:t>
      </w:r>
      <w:r w:rsidR="008B4E85">
        <w:t>Chair – the late Michael Andrew AO</w:t>
      </w:r>
    </w:p>
    <w:p w14:paraId="544C808D" w14:textId="32FFECAB" w:rsidR="007412B9" w:rsidRDefault="007412B9" w:rsidP="007412B9">
      <w:r>
        <w:t>Michael Andrew AO was Chairman and CEO, KPMG International from May 2011 to July 2014. He is the first Australian CEO of one of the ‘big four’ accounting firms and the first to be based in the Asia Pacific region. A partner in KPMG since 1988, Michael practiced in Tax Law and was Partner in Charge of KPMG Tax Practice 1995</w:t>
      </w:r>
      <w:r w:rsidR="00EB06CC">
        <w:noBreakHyphen/>
      </w:r>
      <w:r>
        <w:t>2000 and was Partner in Charge of KPMG International Tax Centre in Amsterdam from 1992</w:t>
      </w:r>
      <w:r w:rsidR="00EB06CC">
        <w:noBreakHyphen/>
      </w:r>
      <w:r>
        <w:t>1994. Michael was Chairman of KPMG Asia Pacific and Chairman, KPMG Australia from 2007 until 2011.</w:t>
      </w:r>
    </w:p>
    <w:p w14:paraId="15EC77D8" w14:textId="77777777" w:rsidR="007412B9" w:rsidRDefault="007412B9" w:rsidP="007412B9">
      <w:r>
        <w:t>Michael Andrew AO was a former member of the Business Council of Australia and the International Business Council of the World Economic Forum.</w:t>
      </w:r>
    </w:p>
    <w:p w14:paraId="2BBE4C0C" w14:textId="77777777" w:rsidR="007412B9" w:rsidRDefault="007412B9" w:rsidP="007412B9">
      <w:r>
        <w:t>Michael Andrew AO held a degree in Law and Commerce from Melbourne University. He was a qualified Barrister and Solicitor of the Supreme Court of Victoria and Fellow of the Institute of Chartered Accountants. He was awarded an Honorary Doctor of Laws by Monash University and an Honorary Doctor of Commerce by Melbourne University.</w:t>
      </w:r>
    </w:p>
    <w:p w14:paraId="3E783323" w14:textId="6973C74A" w:rsidR="007412B9" w:rsidRDefault="007412B9" w:rsidP="007412B9">
      <w:r>
        <w:t>Michael Andrew AO was appointed to the Board in January 2015 up until his passing on 23</w:t>
      </w:r>
      <w:r w:rsidR="00EB06CC">
        <w:t> June </w:t>
      </w:r>
      <w:r>
        <w:t>2019.</w:t>
      </w:r>
    </w:p>
    <w:p w14:paraId="78E409E4" w14:textId="1EC344BB" w:rsidR="00D84A16" w:rsidRDefault="007412B9" w:rsidP="007412B9">
      <w:pPr>
        <w:rPr>
          <w:highlight w:val="yellow"/>
        </w:rPr>
      </w:pPr>
      <w:r>
        <w:t>Michael Andrew AO was appointed Chairman to the Black Economy Taskforce in December 2016 with the Taskforce and provided a final report to Government in October 2017.</w:t>
      </w:r>
    </w:p>
    <w:p w14:paraId="5509D456" w14:textId="4EFFC51D" w:rsidR="00B67102" w:rsidRDefault="00B67102" w:rsidP="007A18A7">
      <w:pPr>
        <w:pStyle w:val="Heading3"/>
      </w:pPr>
      <w:r>
        <w:t xml:space="preserve">Acting Chair – Dr Julianne </w:t>
      </w:r>
      <w:proofErr w:type="spellStart"/>
      <w:r>
        <w:t>Jaques</w:t>
      </w:r>
      <w:proofErr w:type="spellEnd"/>
    </w:p>
    <w:p w14:paraId="4163725E" w14:textId="77777777" w:rsidR="00B67102" w:rsidRDefault="00B67102" w:rsidP="00B67102">
      <w:r>
        <w:t xml:space="preserve">Dr Julianne </w:t>
      </w:r>
      <w:proofErr w:type="spellStart"/>
      <w:r>
        <w:t>Jaques</w:t>
      </w:r>
      <w:proofErr w:type="spellEnd"/>
      <w:r>
        <w:t xml:space="preserve"> is a commercial barrister specialising in taxation and has over 25 years’ experience as a taxation professional. She maintains chambers in both Melbourne and Sydney and has appeared in all higher Federal, Victorian and New South Wales courts.</w:t>
      </w:r>
    </w:p>
    <w:p w14:paraId="1F275EB6" w14:textId="77777777" w:rsidR="00B67102" w:rsidRDefault="00B67102" w:rsidP="00B67102">
      <w:r>
        <w:t xml:space="preserve">Dr </w:t>
      </w:r>
      <w:proofErr w:type="spellStart"/>
      <w:r>
        <w:t>Jaques</w:t>
      </w:r>
      <w:proofErr w:type="spellEnd"/>
      <w:r>
        <w:t xml:space="preserve"> is a Chartered Accountant and a Chartered Tax Adviser. She holds bachelor degrees in economics and law from Monash University and a Doctorate in Juridical Science from the University of Melbourne. Her doctoral thesis was on corporate taxation.</w:t>
      </w:r>
    </w:p>
    <w:p w14:paraId="4469286F" w14:textId="77777777" w:rsidR="00B67102" w:rsidRDefault="00B67102" w:rsidP="00B67102">
      <w:r>
        <w:lastRenderedPageBreak/>
        <w:t xml:space="preserve">Formerly a solicitor with Freehills (now Herbert Smith Freehills) and an accountant with Coopers &amp; Lybrand (now PricewaterhouseCoopers), Dr </w:t>
      </w:r>
      <w:proofErr w:type="spellStart"/>
      <w:r>
        <w:t>Jaques</w:t>
      </w:r>
      <w:proofErr w:type="spellEnd"/>
      <w:r>
        <w:t xml:space="preserve"> was also a senior tax adviser to the Federal Government during the GST and business tax reforms of 1999 to 2001 when she worked extensively on tax policy.</w:t>
      </w:r>
    </w:p>
    <w:p w14:paraId="11410CA2" w14:textId="77777777" w:rsidR="00B67102" w:rsidRDefault="00B67102" w:rsidP="00B67102">
      <w:r>
        <w:t xml:space="preserve">Dr </w:t>
      </w:r>
      <w:proofErr w:type="spellStart"/>
      <w:r>
        <w:t>Jaques</w:t>
      </w:r>
      <w:proofErr w:type="spellEnd"/>
      <w:r>
        <w:t xml:space="preserve"> is a part-time member of the Independent Parliamentary Expenses Authority and the Tax Practitioners Board.</w:t>
      </w:r>
    </w:p>
    <w:p w14:paraId="078E6252" w14:textId="77777777" w:rsidR="00B67102" w:rsidRDefault="00B67102" w:rsidP="00B67102">
      <w:r>
        <w:t xml:space="preserve">Dr </w:t>
      </w:r>
      <w:proofErr w:type="spellStart"/>
      <w:r>
        <w:t>Jaques</w:t>
      </w:r>
      <w:proofErr w:type="spellEnd"/>
      <w:r>
        <w:t xml:space="preserve"> was appointed to the Board from 1 July 2017.</w:t>
      </w:r>
    </w:p>
    <w:p w14:paraId="4539C374" w14:textId="3AB350E4" w:rsidR="00B67102" w:rsidRPr="00B67102" w:rsidRDefault="00B67102" w:rsidP="00B67102">
      <w:r>
        <w:t xml:space="preserve">The Treasurer appointed Dr </w:t>
      </w:r>
      <w:proofErr w:type="spellStart"/>
      <w:r>
        <w:t>Jaques</w:t>
      </w:r>
      <w:proofErr w:type="spellEnd"/>
      <w:r>
        <w:t xml:space="preserve"> as Acting Chair of the Board for a period of three months from 11 July 2019, and a further period of three months ending on 10 January 2020.</w:t>
      </w:r>
    </w:p>
    <w:p w14:paraId="5F5C65D7" w14:textId="77777777" w:rsidR="001563DC" w:rsidRDefault="00D84A16" w:rsidP="00683089">
      <w:pPr>
        <w:pStyle w:val="Heading3"/>
      </w:pPr>
      <w:r>
        <w:t xml:space="preserve">Former </w:t>
      </w:r>
      <w:r w:rsidR="001563DC">
        <w:t xml:space="preserve">Chief Executive Officer </w:t>
      </w:r>
      <w:r w:rsidR="001563DC">
        <w:noBreakHyphen/>
        <w:t xml:space="preserve"> Karen Payne</w:t>
      </w:r>
    </w:p>
    <w:p w14:paraId="76BBC63D" w14:textId="2D6BB129" w:rsidR="001339B5" w:rsidRDefault="001339B5" w:rsidP="001339B5">
      <w:r>
        <w:t xml:space="preserve">Karen Payne was appointed as a Member of the Board in May 2015 and as the inaugural Chief Executive Officer of the Board, effective 31 March 2016. She also served as an Advisory Panel member between 2010 and 2015 and assisted with the reviews of tax arrangements for managed investment trusts, venture capital limited partnerships, collective investment vehicles, the investment manager regime and the arm’s-length debt test. </w:t>
      </w:r>
    </w:p>
    <w:p w14:paraId="1CB109E6" w14:textId="77777777" w:rsidR="001563DC" w:rsidRDefault="001339B5" w:rsidP="001339B5">
      <w:r>
        <w:t>Karen Payne has over 20 years’ experience as a taxation advisor at top tier legal and accounting firms. Prior to her appointment as CEO to the Board, she was a Partner at Minter Ellison focusing on international and corporate taxes for the financial services industry, and mining, energy and utilities sectors. Karen has assisted domestic and international corporates and funds (equity, infrastructure, property, private equity and venture capital) with advice on structure, M&amp;A and taxation due diligence. She is a Chartered Accountant, solicitor practising in New South Wales, Chartered Tax Adviser and member of the Australian Institute of Company Directors.</w:t>
      </w:r>
    </w:p>
    <w:p w14:paraId="4ED57A38" w14:textId="7D62D870" w:rsidR="001339B5" w:rsidRDefault="001339B5" w:rsidP="001339B5">
      <w:r>
        <w:t xml:space="preserve">Karen </w:t>
      </w:r>
      <w:r w:rsidR="000012E2">
        <w:t xml:space="preserve">retired from the Board, effective </w:t>
      </w:r>
      <w:r w:rsidR="00CF1690">
        <w:t xml:space="preserve">from </w:t>
      </w:r>
      <w:r w:rsidR="00CF1690" w:rsidRPr="007A18A7">
        <w:t>5</w:t>
      </w:r>
      <w:r w:rsidR="000012E2" w:rsidRPr="007A18A7">
        <w:t xml:space="preserve"> May 2019</w:t>
      </w:r>
      <w:r w:rsidR="000012E2">
        <w:t xml:space="preserve">, </w:t>
      </w:r>
      <w:r w:rsidR="00CF1690">
        <w:t xml:space="preserve">on commencing in </w:t>
      </w:r>
      <w:r>
        <w:t>the position of Inspector</w:t>
      </w:r>
      <w:r>
        <w:noBreakHyphen/>
        <w:t xml:space="preserve">General of Taxation and </w:t>
      </w:r>
      <w:r w:rsidR="00CF1690">
        <w:t>Taxation Ombudsmen.</w:t>
      </w:r>
    </w:p>
    <w:p w14:paraId="6EBEA2FD" w14:textId="77777777" w:rsidR="00C3228A" w:rsidRDefault="00C3228A" w:rsidP="00683089">
      <w:pPr>
        <w:pStyle w:val="Heading3"/>
      </w:pPr>
      <w:proofErr w:type="spellStart"/>
      <w:r>
        <w:t>Rosheen</w:t>
      </w:r>
      <w:proofErr w:type="spellEnd"/>
      <w:r>
        <w:t xml:space="preserve"> Garnon</w:t>
      </w:r>
    </w:p>
    <w:p w14:paraId="227FAC4A" w14:textId="77777777" w:rsidR="00C3228A" w:rsidRDefault="00C3228A" w:rsidP="00C3228A">
      <w:r>
        <w:t>Mrs Garnon has over 30 years of experience in the field of taxation having been a senior partner with KPMG. She was admitted as a tax partner in 2000 and went on to hold senior executive roles with the firm.</w:t>
      </w:r>
    </w:p>
    <w:p w14:paraId="17014769" w14:textId="77777777" w:rsidR="00C3228A" w:rsidRDefault="00C3228A" w:rsidP="00C3228A">
      <w:r>
        <w:t>From 2009 to 2015, Mrs Garnon was the National Managing Partner for KPMG Australia’s Taxation Division. During this time, she was also a member of KPMG’s Global Tax Steering Group which oversees KPMG’s Global Tax Practice.</w:t>
      </w:r>
    </w:p>
    <w:p w14:paraId="271D4749" w14:textId="77777777" w:rsidR="00C3228A" w:rsidRDefault="00C3228A" w:rsidP="00C3228A">
      <w:r>
        <w:t>Previously, Mrs Garnon was the Global Partner in Charge (2006 – 2010) of KPMG’s International Executive Services Business spanning 128 countries and 2,500 staff. She has extensive experience of advising both domestic and global organisations.</w:t>
      </w:r>
    </w:p>
    <w:p w14:paraId="29448194" w14:textId="77777777" w:rsidR="00C3228A" w:rsidRDefault="00C3228A" w:rsidP="00C3228A">
      <w:r>
        <w:lastRenderedPageBreak/>
        <w:t xml:space="preserve">Mrs </w:t>
      </w:r>
      <w:proofErr w:type="spellStart"/>
      <w:r>
        <w:t>Garnon’s</w:t>
      </w:r>
      <w:proofErr w:type="spellEnd"/>
      <w:r>
        <w:t xml:space="preserve"> background includes Bachelor of Economics (Accounting Major) and Bachelor of Laws from the Australian National University. She is a Fellow of Chartered Accountants in Australia and New Zealand, a Chartered Tax Advisor and a Graduate of the Australian Institute of Company Directors. She is also a member of Chief Executive Women.</w:t>
      </w:r>
    </w:p>
    <w:p w14:paraId="442BDE3C" w14:textId="77777777" w:rsidR="00C3228A" w:rsidRDefault="00C3228A" w:rsidP="00C3228A">
      <w:r>
        <w:t xml:space="preserve">Other current roles: Chair of </w:t>
      </w:r>
      <w:proofErr w:type="spellStart"/>
      <w:r>
        <w:t>Alexium</w:t>
      </w:r>
      <w:proofErr w:type="spellEnd"/>
      <w:r>
        <w:t xml:space="preserve"> International Group Limited; Non-Executive Director and Chair of the Audit and Risk Committee for Creative Partnerships Australia; Non-Executive Director and Treasurer of Women Corporate Directors Australia; Member of the Major Performing Arts Panel of the Australia Council for the Arts, a Non-Executive Director of the Smith Family, a Non-Executive Director of Australian Rail and Track Corporation, and appointed as a trustee of the Sydney Cricket Ground Trust.</w:t>
      </w:r>
    </w:p>
    <w:p w14:paraId="61F98AF9" w14:textId="77777777" w:rsidR="00C3228A" w:rsidRPr="00C3228A" w:rsidRDefault="00C3228A" w:rsidP="00C3228A">
      <w:r>
        <w:t>Mrs Garnon was appointed to the board for a three year term commencing 1 January 2018.</w:t>
      </w:r>
    </w:p>
    <w:p w14:paraId="693717F3" w14:textId="77777777" w:rsidR="00D3694F" w:rsidRDefault="00D3694F" w:rsidP="00683089">
      <w:pPr>
        <w:pStyle w:val="Heading3"/>
      </w:pPr>
      <w:r>
        <w:t>Neville Mitchell</w:t>
      </w:r>
    </w:p>
    <w:p w14:paraId="019EA1F8" w14:textId="77777777" w:rsidR="00D3694F" w:rsidRDefault="00D3694F" w:rsidP="00D3694F">
      <w:r>
        <w:t>Mr Mitchell is a qualified Chartered Accountant with 27 years of experience (until March 2017) as Chief Financial Officer and Company Secretary of ASX-listed Cochlear Limited, a world leading medical device developer, manufacturer and seller, with a market capitalisation of over $10bn.</w:t>
      </w:r>
    </w:p>
    <w:p w14:paraId="3DB84EA8" w14:textId="7D35D851" w:rsidR="00D3694F" w:rsidRDefault="00D3694F" w:rsidP="00D3694F">
      <w:r>
        <w:t xml:space="preserve">Mr Mitchell is currently a non-executive director of ASX-listed Fisher &amp; Paykel Healthcare, Sonic Healthcare and Osprey Medical, as well as privately owned Australian life sciences company, </w:t>
      </w:r>
      <w:proofErr w:type="spellStart"/>
      <w:r>
        <w:t>Q’Biotics</w:t>
      </w:r>
      <w:proofErr w:type="spellEnd"/>
      <w:r>
        <w:t xml:space="preserve"> Group. He is also a director of the South East Sydney Local Health District Board.</w:t>
      </w:r>
    </w:p>
    <w:p w14:paraId="62AE5946" w14:textId="77777777" w:rsidR="00D3694F" w:rsidRDefault="00D3694F" w:rsidP="00D3694F">
      <w:r>
        <w:t>Previously, he served on the New South Wales Medical Devices Fund, was Chairman of the Group of 100 (an Australian body for senior finance executives), and Chairman, Standing Committee (Accounting and Auditing), for the Australian Securities and Investments Commission (ASIC).</w:t>
      </w:r>
    </w:p>
    <w:p w14:paraId="55A3BA5B" w14:textId="77777777" w:rsidR="00BF023C" w:rsidRDefault="00BF023C" w:rsidP="00D3694F">
      <w:r>
        <w:t xml:space="preserve">Mr Mitchell </w:t>
      </w:r>
      <w:r w:rsidRPr="00BF023C">
        <w:t>was appointed to the Board in May 2015 and was reappointed for a further three year term commencing 1</w:t>
      </w:r>
      <w:r w:rsidR="00702B92">
        <w:t>4</w:t>
      </w:r>
      <w:r w:rsidRPr="00BF023C">
        <w:t xml:space="preserve"> May 2018.</w:t>
      </w:r>
    </w:p>
    <w:p w14:paraId="05310C6E" w14:textId="77777777" w:rsidR="00D3694F" w:rsidRDefault="00D3694F" w:rsidP="00683089">
      <w:pPr>
        <w:pStyle w:val="Heading3"/>
      </w:pPr>
      <w:r>
        <w:t xml:space="preserve">Dr Mark </w:t>
      </w:r>
      <w:proofErr w:type="spellStart"/>
      <w:r>
        <w:t>Pizzacalla</w:t>
      </w:r>
      <w:proofErr w:type="spellEnd"/>
    </w:p>
    <w:p w14:paraId="45B6837F" w14:textId="77777777" w:rsidR="00D3694F" w:rsidRDefault="00D3694F" w:rsidP="00D3694F">
      <w:r>
        <w:t xml:space="preserve">Dr </w:t>
      </w:r>
      <w:proofErr w:type="spellStart"/>
      <w:r>
        <w:t>Pizzacalla</w:t>
      </w:r>
      <w:proofErr w:type="spellEnd"/>
      <w:r>
        <w:t xml:space="preserve"> is a Senior Partner with BDO in Melbourne Office. Dr </w:t>
      </w:r>
      <w:proofErr w:type="spellStart"/>
      <w:r>
        <w:t>Pizzacalla’s</w:t>
      </w:r>
      <w:proofErr w:type="spellEnd"/>
      <w:r>
        <w:t xml:space="preserve"> business experience, including acting as Managing Partner of his predecessor firm, gives him a strong appreciation of both the strategic and operational issues facing business and provides relevance to the technical tax advice he delivers.</w:t>
      </w:r>
    </w:p>
    <w:p w14:paraId="05DF6712" w14:textId="77777777" w:rsidR="00D3694F" w:rsidRDefault="00D3694F" w:rsidP="00D3694F">
      <w:r>
        <w:t xml:space="preserve">Dr </w:t>
      </w:r>
      <w:proofErr w:type="spellStart"/>
      <w:r>
        <w:t>Pizzacalla</w:t>
      </w:r>
      <w:proofErr w:type="spellEnd"/>
      <w:r>
        <w:t xml:space="preserve"> completed his PhD in relation to the taxation of SMEs in Australia and is one of the few tax practitioners whose work has been cited in Australia’s Parliament. Dr </w:t>
      </w:r>
      <w:proofErr w:type="spellStart"/>
      <w:r>
        <w:t>Pizzacalla</w:t>
      </w:r>
      <w:proofErr w:type="spellEnd"/>
      <w:r>
        <w:t xml:space="preserve"> is a member of The Tax Institute’s Victorian Technical Committee, and was previously the former Chair of The Tax Institute’s National SME Sub-Committee, as well as being a former Victorian State Councillor.</w:t>
      </w:r>
    </w:p>
    <w:p w14:paraId="6681DF66" w14:textId="77777777" w:rsidR="00D3694F" w:rsidRDefault="00D3694F" w:rsidP="00D3694F">
      <w:r>
        <w:lastRenderedPageBreak/>
        <w:t xml:space="preserve">Dr </w:t>
      </w:r>
      <w:proofErr w:type="spellStart"/>
      <w:r>
        <w:t>Pizzacalla</w:t>
      </w:r>
      <w:proofErr w:type="spellEnd"/>
      <w:r>
        <w:t xml:space="preserve"> was appointed to the Board in January 2015 and was reappointed for a further three year term commencing 1 January 2018.</w:t>
      </w:r>
    </w:p>
    <w:p w14:paraId="1F643F4C" w14:textId="77777777" w:rsidR="00BF023C" w:rsidRDefault="00BF023C" w:rsidP="00683089">
      <w:pPr>
        <w:pStyle w:val="Heading3"/>
      </w:pPr>
      <w:r>
        <w:t>Ann</w:t>
      </w:r>
      <w:r>
        <w:noBreakHyphen/>
        <w:t>Maree Wolff</w:t>
      </w:r>
    </w:p>
    <w:p w14:paraId="63DD0805" w14:textId="305867B9" w:rsidR="00BF023C" w:rsidRDefault="00BF023C" w:rsidP="00BF023C">
      <w:r>
        <w:t>Mrs Wolff has over 2</w:t>
      </w:r>
      <w:r w:rsidR="00E1193E">
        <w:t>7</w:t>
      </w:r>
      <w:r>
        <w:t xml:space="preserve"> years’ experience as a qualifi</w:t>
      </w:r>
      <w:r w:rsidR="00E1193E">
        <w:t>ed tax professional with over 17</w:t>
      </w:r>
      <w:r>
        <w:t xml:space="preserve"> years’ experience in senior tax roles within the mining industry. She is currently the </w:t>
      </w:r>
      <w:r w:rsidR="00E1193E">
        <w:t xml:space="preserve">Global </w:t>
      </w:r>
      <w:r>
        <w:t>Head of Tax for Rio Tinto responsible for all tax matters relevant to Rio Tinto</w:t>
      </w:r>
      <w:r w:rsidR="00E1193E">
        <w:t>.</w:t>
      </w:r>
    </w:p>
    <w:p w14:paraId="3189979C" w14:textId="77777777" w:rsidR="00BF023C" w:rsidRDefault="00BF023C" w:rsidP="00BF023C">
      <w:r>
        <w:t>Mrs Wolff is a Chartered Tax Advisor and Fellow of Chartered Accountants Australia and New Zealand.</w:t>
      </w:r>
    </w:p>
    <w:p w14:paraId="7A7393BE" w14:textId="77777777" w:rsidR="00BF023C" w:rsidRDefault="00BF023C" w:rsidP="00BF023C">
      <w:r>
        <w:t xml:space="preserve">Mrs Wolff was appointed to the Board in May 2015 and was reappointed for </w:t>
      </w:r>
      <w:r w:rsidRPr="00BF023C">
        <w:t>a further three year term commencing 1</w:t>
      </w:r>
      <w:r w:rsidR="00702B92">
        <w:t>4</w:t>
      </w:r>
      <w:r w:rsidRPr="00BF023C">
        <w:t xml:space="preserve"> </w:t>
      </w:r>
      <w:r>
        <w:t>May</w:t>
      </w:r>
      <w:r w:rsidRPr="00BF023C">
        <w:t xml:space="preserve"> 2018</w:t>
      </w:r>
      <w:r>
        <w:t>.</w:t>
      </w:r>
    </w:p>
    <w:p w14:paraId="3EF7CF4B" w14:textId="77777777" w:rsidR="00702B92" w:rsidRDefault="00702B92" w:rsidP="00683089">
      <w:pPr>
        <w:pStyle w:val="Heading3"/>
      </w:pPr>
      <w:r>
        <w:t xml:space="preserve">Craig </w:t>
      </w:r>
      <w:proofErr w:type="spellStart"/>
      <w:r>
        <w:t>Yaxley</w:t>
      </w:r>
      <w:proofErr w:type="spellEnd"/>
    </w:p>
    <w:p w14:paraId="43D8400B" w14:textId="11E016CA" w:rsidR="00702B92" w:rsidRDefault="00702B92" w:rsidP="00702B92">
      <w:r>
        <w:t xml:space="preserve">Mr </w:t>
      </w:r>
      <w:proofErr w:type="spellStart"/>
      <w:r>
        <w:t>Yaxley</w:t>
      </w:r>
      <w:proofErr w:type="spellEnd"/>
      <w:r>
        <w:t xml:space="preserve"> has over 30 years</w:t>
      </w:r>
      <w:r w:rsidR="005E2DD5">
        <w:t>’</w:t>
      </w:r>
      <w:r>
        <w:t xml:space="preserve"> corporate tax experience including 20 years as a tax partner with KPMG Perth office. He is currently a Senior Partner at KPMG. He provides tax advice to a wide range of international and Australian mining, oil and gas, mining services, property and agriculture clients on structuring inbound and outbound investments, financing, joint ventures and mergers and divestments.</w:t>
      </w:r>
    </w:p>
    <w:p w14:paraId="5A1DD0FE" w14:textId="77777777" w:rsidR="00702B92" w:rsidRDefault="00702B92" w:rsidP="00702B92">
      <w:r>
        <w:t xml:space="preserve">Mr </w:t>
      </w:r>
      <w:proofErr w:type="spellStart"/>
      <w:r>
        <w:t>Yaxley</w:t>
      </w:r>
      <w:proofErr w:type="spellEnd"/>
      <w:r>
        <w:t xml:space="preserve"> is a Chartered Tax Advisor and Fellow of the Institute of Chartered Accountants in Australia. Craig has been extensively involved in mining industry tax issues and policy developments in his previous role as Chairman of the Tax Committee for the Association of Mining and Exploration Companies Inc.</w:t>
      </w:r>
    </w:p>
    <w:p w14:paraId="44E788CC" w14:textId="77777777" w:rsidR="00702B92" w:rsidRDefault="00702B92" w:rsidP="00702B92">
      <w:r>
        <w:t xml:space="preserve">Mr </w:t>
      </w:r>
      <w:proofErr w:type="spellStart"/>
      <w:r>
        <w:t>Yaxley</w:t>
      </w:r>
      <w:proofErr w:type="spellEnd"/>
      <w:r>
        <w:t xml:space="preserve"> is also Treasurer and Director of Black Swan State Theatre Company.</w:t>
      </w:r>
    </w:p>
    <w:p w14:paraId="0177E2DD" w14:textId="77777777" w:rsidR="00702B92" w:rsidRDefault="00702B92" w:rsidP="00702B92">
      <w:r>
        <w:t xml:space="preserve">Mr </w:t>
      </w:r>
      <w:proofErr w:type="spellStart"/>
      <w:r>
        <w:t>Yaxley</w:t>
      </w:r>
      <w:proofErr w:type="spellEnd"/>
      <w:r>
        <w:t xml:space="preserve"> was appointed to the Board in January 2015 and was reappointed for a further three year term commencing 1 January 2018.</w:t>
      </w:r>
    </w:p>
    <w:p w14:paraId="6F46E936" w14:textId="77777777" w:rsidR="0047678F" w:rsidRDefault="0047678F" w:rsidP="00683089">
      <w:pPr>
        <w:pStyle w:val="Heading3"/>
      </w:pPr>
      <w:r>
        <w:t>John Fraser – former Secretary to the Treasury</w:t>
      </w:r>
    </w:p>
    <w:p w14:paraId="0E6DADEA" w14:textId="77777777" w:rsidR="0047678F" w:rsidRDefault="0047678F" w:rsidP="0047678F">
      <w:r w:rsidRPr="0047678F">
        <w:t xml:space="preserve">John Fraser </w:t>
      </w:r>
      <w:r>
        <w:t xml:space="preserve">was </w:t>
      </w:r>
      <w:r w:rsidRPr="0047678F">
        <w:t xml:space="preserve">Secretary to The Treasury </w:t>
      </w:r>
      <w:r w:rsidR="009D683E">
        <w:t xml:space="preserve">between </w:t>
      </w:r>
      <w:r w:rsidRPr="0047678F">
        <w:t>January 2015</w:t>
      </w:r>
      <w:r>
        <w:t xml:space="preserve"> </w:t>
      </w:r>
      <w:r w:rsidR="009D683E">
        <w:t>and 31 July 2018</w:t>
      </w:r>
      <w:r w:rsidRPr="0047678F">
        <w:t xml:space="preserve">. He was Chairman and CEO of UBS Global Asset Management from late 2001 to 2013, based in London. During this time, he was also a member of the UBS Group Executive Board and Chairman of UBS Saudi Arabia. In 2014, John Fraser remained as Chairman of UBS Global Asset Management, Chairman of UBS Saudi Arabia and Chairman of UBS </w:t>
      </w:r>
      <w:proofErr w:type="spellStart"/>
      <w:r w:rsidRPr="0047678F">
        <w:t>Grocon</w:t>
      </w:r>
      <w:proofErr w:type="spellEnd"/>
      <w:r w:rsidRPr="0047678F">
        <w:t xml:space="preserve"> Real Estate.</w:t>
      </w:r>
    </w:p>
    <w:p w14:paraId="20B59B3D" w14:textId="77777777" w:rsidR="0047678F" w:rsidRDefault="0047678F" w:rsidP="0047678F">
      <w:r>
        <w:t xml:space="preserve">Prior to joining UBS and its predecessor organisations in 1993, John Fraser served for over 20 years with the Australian Treasury, including as Deputy Secretary (Economic) from 1990 and postings at the International Monetary Fund and as Minister (Economic) at the Australian Embassy in Washington, DC. He was Chairman of Victorian Funds Management Corporation </w:t>
      </w:r>
      <w:r>
        <w:lastRenderedPageBreak/>
        <w:t>from 2009 to early 2015. In 2013, John Fraser was awarded an honorary degree of Doctor of Laws by Monash University, Melbourne.</w:t>
      </w:r>
    </w:p>
    <w:p w14:paraId="72113399" w14:textId="77777777" w:rsidR="0047678F" w:rsidRPr="0047678F" w:rsidRDefault="0047678F" w:rsidP="0047678F">
      <w:r>
        <w:t xml:space="preserve">As Secretary, he </w:t>
      </w:r>
      <w:r w:rsidR="009D683E">
        <w:t>wa</w:t>
      </w:r>
      <w:r>
        <w:t>s a member of the Board of the Reserve Bank of Australia, Chair of the Advisory Board of the Australian Office of Financial Management and a member of the Australia in the Asian Century Strategic Advisory Board, Infrastructure Australia, the Council of Financial Regulators, the Board of Taxation, the Sir Roland Wilson Foundation and the Centre for International Finance and Regulation.</w:t>
      </w:r>
    </w:p>
    <w:p w14:paraId="18F55684" w14:textId="714A2990" w:rsidR="00702B92" w:rsidRDefault="00E877A8" w:rsidP="00683089">
      <w:pPr>
        <w:pStyle w:val="Heading3"/>
      </w:pPr>
      <w:r>
        <w:t xml:space="preserve">Phil </w:t>
      </w:r>
      <w:proofErr w:type="spellStart"/>
      <w:r>
        <w:t>Gaetjens</w:t>
      </w:r>
      <w:proofErr w:type="spellEnd"/>
      <w:r>
        <w:t xml:space="preserve"> – </w:t>
      </w:r>
      <w:r w:rsidR="004F643A">
        <w:t>f</w:t>
      </w:r>
      <w:r w:rsidR="00D84A16">
        <w:t xml:space="preserve">ormer </w:t>
      </w:r>
      <w:r>
        <w:t>Secretary to the Treasury</w:t>
      </w:r>
    </w:p>
    <w:p w14:paraId="1704C904" w14:textId="77777777" w:rsidR="00BC5A0E" w:rsidRDefault="00BC5A0E" w:rsidP="00BC5A0E">
      <w:r>
        <w:t xml:space="preserve">Mr </w:t>
      </w:r>
      <w:proofErr w:type="spellStart"/>
      <w:r>
        <w:t>Gaetjens</w:t>
      </w:r>
      <w:proofErr w:type="spellEnd"/>
      <w:r>
        <w:t xml:space="preserve"> was Secretary to the Treasury between 1 August 2018 and 30 August 2019.</w:t>
      </w:r>
    </w:p>
    <w:p w14:paraId="2DA067BC" w14:textId="77777777" w:rsidR="00667D75" w:rsidRDefault="00667D75" w:rsidP="00667D75">
      <w:r>
        <w:t xml:space="preserve">Prior to his appointment as Treasury Secretary, Mr </w:t>
      </w:r>
      <w:proofErr w:type="spellStart"/>
      <w:r>
        <w:t>Gaetjens</w:t>
      </w:r>
      <w:proofErr w:type="spellEnd"/>
      <w:r>
        <w:t xml:space="preserve"> was Chief of Staff to Treasurer the Hon Scott Morrison MP.</w:t>
      </w:r>
    </w:p>
    <w:p w14:paraId="7DB8637F" w14:textId="388B3E10" w:rsidR="00667D75" w:rsidRDefault="00667D75" w:rsidP="00667D75">
      <w:r>
        <w:t xml:space="preserve">Mr </w:t>
      </w:r>
      <w:proofErr w:type="spellStart"/>
      <w:r>
        <w:t>Gaetjens</w:t>
      </w:r>
      <w:proofErr w:type="spellEnd"/>
      <w:r>
        <w:t xml:space="preserve"> has more than 40 years’ experience in Commonwealth and State public sectors. He began as an Assistant Research Officer in the Bureau of Transport Economics in 1977 and progressed through the Department of Transport in its various incarnations working on land transport, aviation, telecommunications and government business enterprise reforms. </w:t>
      </w:r>
    </w:p>
    <w:p w14:paraId="1E7BB37C" w14:textId="77777777" w:rsidR="00667D75" w:rsidRDefault="00F05AA3" w:rsidP="00683089">
      <w:pPr>
        <w:pStyle w:val="Heading3"/>
      </w:pPr>
      <w:r>
        <w:t>Chris Jordan AO – Commissioner of Taxation</w:t>
      </w:r>
    </w:p>
    <w:p w14:paraId="0AA150E0" w14:textId="77777777" w:rsidR="00F05AA3" w:rsidRDefault="00F05AA3" w:rsidP="00F05AA3">
      <w:r>
        <w:t>Mr Jordan was previously Chair of KPMG New South Wales and Partner in Charge of the New South Wales Tax and Legal Division of KPMG. He is the former Chair of the New Tax System Advisory Board and was also the State Chair of the New South Wales Division of the Taxation Institute of Australia. He was appointed by the NSW Government to the Games Advisory Committee of the Sydney 2009 World Masters Games.</w:t>
      </w:r>
    </w:p>
    <w:p w14:paraId="69A85705" w14:textId="77777777" w:rsidR="00F05AA3" w:rsidRDefault="00F05AA3" w:rsidP="00F05AA3">
      <w:r>
        <w:t>Until his appointment as Commissioner of Taxation in January 2013, Mr Jordan was a member of the Sydney Children’s Hospital Foundation Board, the Board of the Bell Shakespeare Company, a member of the Audit Risk Committee of the Art Gallery of NSW and Chair of the Committee for Sydney.</w:t>
      </w:r>
    </w:p>
    <w:p w14:paraId="7A1F5D1D" w14:textId="77777777" w:rsidR="00F05AA3" w:rsidRDefault="00F05AA3" w:rsidP="00F05AA3">
      <w:r>
        <w:t>Mr Jordan has been a member of the Board since its inception in September 2000. He was Deputy Chair from January 2005, was appointed to the position of Chair in June 2011 and retired from this position in December 2012 following his appointment as Commissioner of Taxation.</w:t>
      </w:r>
    </w:p>
    <w:p w14:paraId="20441CDF" w14:textId="77777777" w:rsidR="00F05AA3" w:rsidRDefault="00F05AA3" w:rsidP="00F05AA3">
      <w:r>
        <w:t>Mr Jordan has been an ex officio member of the Board since January 2013.</w:t>
      </w:r>
    </w:p>
    <w:p w14:paraId="701449E3" w14:textId="77777777" w:rsidR="00F05AA3" w:rsidRDefault="00F05AA3" w:rsidP="00683089">
      <w:pPr>
        <w:pStyle w:val="Heading3"/>
      </w:pPr>
      <w:r>
        <w:t xml:space="preserve">Peter Quiggin PSM – First </w:t>
      </w:r>
      <w:r w:rsidR="008762EE">
        <w:t>P</w:t>
      </w:r>
      <w:r>
        <w:t>arliamentary Counsel</w:t>
      </w:r>
    </w:p>
    <w:p w14:paraId="5563701E" w14:textId="77777777" w:rsidR="00F05AA3" w:rsidRDefault="00F05AA3" w:rsidP="00F05AA3">
      <w:r>
        <w:t xml:space="preserve">Mr Quiggin is the First Parliamentary Counsel of the Office of Parliamentary Counsel (OPC), which is responsible for drafting all principal legislation, all regulations and a range of legislative instruments for the Australian Government, including taxation legislation. OPC is also </w:t>
      </w:r>
      <w:r>
        <w:lastRenderedPageBreak/>
        <w:t>responsible for the publication of Commonwealth legislation through the Federal Register of Legislation.</w:t>
      </w:r>
    </w:p>
    <w:p w14:paraId="62D1030B" w14:textId="6F745D3B" w:rsidR="00F05AA3" w:rsidRDefault="00F05AA3" w:rsidP="00F05AA3">
      <w:r>
        <w:t xml:space="preserve">Mr Quiggin’s initial 7 year appointment as First Parliamentary Counsel started on 13 May 2004. He has since been reappointed twice with his most recent reappointment being for a further 5 years, commencing on 14 May 2018. He has been a drafter with the Office of Parliamentary Counsel for over </w:t>
      </w:r>
      <w:r w:rsidR="000C0D64">
        <w:t>30</w:t>
      </w:r>
      <w:r>
        <w:t xml:space="preserve"> years and has drafted legislation covering a wide range of topics including taxation, native title and immigration.</w:t>
      </w:r>
    </w:p>
    <w:p w14:paraId="076E962A" w14:textId="77777777" w:rsidR="00F05AA3" w:rsidRDefault="00F05AA3" w:rsidP="00F05AA3">
      <w:r>
        <w:t>Prior to working at OPC, Mr Quiggin worked for a number of years with the Tax Office and the Administrative Appeals Tribunal.</w:t>
      </w:r>
    </w:p>
    <w:p w14:paraId="38838294" w14:textId="77777777" w:rsidR="00F05AA3" w:rsidRDefault="00F05AA3" w:rsidP="00F05AA3">
      <w:r>
        <w:t>Mr Quiggin has been an ex officio member of the Board since January 2004</w:t>
      </w:r>
      <w:r w:rsidR="00683089">
        <w:t>.</w:t>
      </w:r>
    </w:p>
    <w:p w14:paraId="28353FE2" w14:textId="77777777" w:rsidR="00683089" w:rsidRDefault="00683089" w:rsidP="00683089">
      <w:pPr>
        <w:pStyle w:val="Heading2"/>
      </w:pPr>
      <w:bookmarkStart w:id="21" w:name="_Toc27652707"/>
      <w:r>
        <w:t>Terms of Board members</w:t>
      </w:r>
      <w:bookmarkEnd w:id="21"/>
    </w:p>
    <w:p w14:paraId="1DE08BF5" w14:textId="77777777" w:rsidR="00683089" w:rsidRDefault="00683089" w:rsidP="00683089">
      <w:pPr>
        <w:pStyle w:val="TableMainHeading"/>
      </w:pPr>
      <w:bookmarkStart w:id="22" w:name="_Toc27652715"/>
      <w:r>
        <w:t xml:space="preserve">Table </w:t>
      </w:r>
      <w:r w:rsidR="00613C39">
        <w:t>2</w:t>
      </w:r>
      <w:r>
        <w:t>: Term of Board members</w:t>
      </w:r>
      <w:bookmarkEnd w:id="22"/>
    </w:p>
    <w:p w14:paraId="4A65FB16" w14:textId="77777777" w:rsidR="00683089" w:rsidRDefault="00683089" w:rsidP="00683089">
      <w:pPr>
        <w:pStyle w:val="TableGraphic"/>
      </w:pPr>
      <w:r>
        <w:t>The term of the Board members is as follows:</w:t>
      </w:r>
    </w:p>
    <w:tbl>
      <w:tblPr>
        <w:tblStyle w:val="TableGrid"/>
        <w:tblW w:w="0" w:type="auto"/>
        <w:tblLook w:val="04A0" w:firstRow="1" w:lastRow="0" w:firstColumn="1" w:lastColumn="0" w:noHBand="0" w:noVBand="1"/>
      </w:tblPr>
      <w:tblGrid>
        <w:gridCol w:w="2832"/>
        <w:gridCol w:w="2832"/>
        <w:gridCol w:w="2833"/>
      </w:tblGrid>
      <w:tr w:rsidR="00305513" w14:paraId="68FE1CD4" w14:textId="77777777" w:rsidTr="00D57B85">
        <w:trPr>
          <w:cnfStyle w:val="100000000000" w:firstRow="1" w:lastRow="0" w:firstColumn="0" w:lastColumn="0" w:oddVBand="0" w:evenVBand="0" w:oddHBand="0" w:evenHBand="0" w:firstRowFirstColumn="0" w:firstRowLastColumn="0" w:lastRowFirstColumn="0" w:lastRowLastColumn="0"/>
        </w:trPr>
        <w:tc>
          <w:tcPr>
            <w:tcW w:w="2832" w:type="dxa"/>
            <w:tcBorders>
              <w:top w:val="single" w:sz="4" w:space="0" w:color="3F6294"/>
              <w:bottom w:val="single" w:sz="4" w:space="0" w:color="auto"/>
            </w:tcBorders>
          </w:tcPr>
          <w:p w14:paraId="455E66F7" w14:textId="77777777" w:rsidR="00305513" w:rsidRDefault="00305513" w:rsidP="00305513">
            <w:pPr>
              <w:pStyle w:val="TableColumnHeadingLeft"/>
            </w:pPr>
            <w:r>
              <w:t>Member</w:t>
            </w:r>
          </w:p>
        </w:tc>
        <w:tc>
          <w:tcPr>
            <w:tcW w:w="2832" w:type="dxa"/>
            <w:tcBorders>
              <w:top w:val="single" w:sz="4" w:space="0" w:color="3F6294"/>
              <w:bottom w:val="single" w:sz="4" w:space="0" w:color="auto"/>
            </w:tcBorders>
          </w:tcPr>
          <w:p w14:paraId="51A0E1C1" w14:textId="77777777" w:rsidR="00305513" w:rsidRDefault="00305513" w:rsidP="00305513">
            <w:pPr>
              <w:pStyle w:val="TableColumnHeadingLeft"/>
            </w:pPr>
            <w:r>
              <w:t>Term commenced</w:t>
            </w:r>
          </w:p>
        </w:tc>
        <w:tc>
          <w:tcPr>
            <w:tcW w:w="2833" w:type="dxa"/>
            <w:tcBorders>
              <w:top w:val="single" w:sz="4" w:space="0" w:color="3F6294"/>
              <w:bottom w:val="single" w:sz="4" w:space="0" w:color="auto"/>
            </w:tcBorders>
          </w:tcPr>
          <w:p w14:paraId="240182A8" w14:textId="77777777" w:rsidR="00305513" w:rsidRDefault="00305513" w:rsidP="00305513">
            <w:pPr>
              <w:pStyle w:val="TableColumnHeadingLeft"/>
            </w:pPr>
            <w:r>
              <w:t>Term expires</w:t>
            </w:r>
          </w:p>
        </w:tc>
      </w:tr>
      <w:tr w:rsidR="00305513" w14:paraId="232C5546" w14:textId="77777777" w:rsidTr="00D57B85">
        <w:tc>
          <w:tcPr>
            <w:tcW w:w="2832" w:type="dxa"/>
            <w:tcBorders>
              <w:top w:val="single" w:sz="4" w:space="0" w:color="auto"/>
              <w:left w:val="nil"/>
              <w:bottom w:val="single" w:sz="4" w:space="0" w:color="auto"/>
            </w:tcBorders>
            <w:shd w:val="clear" w:color="auto" w:fill="auto"/>
          </w:tcPr>
          <w:p w14:paraId="77A4DAE3" w14:textId="1D94AA4D" w:rsidR="00305513" w:rsidRDefault="00305513" w:rsidP="00305513">
            <w:r w:rsidRPr="00EA7F0A">
              <w:t>Michael Andrew AO (</w:t>
            </w:r>
            <w:r w:rsidR="00072649">
              <w:t xml:space="preserve">former </w:t>
            </w:r>
            <w:r w:rsidRPr="00EA7F0A">
              <w:t>Chair)</w:t>
            </w:r>
          </w:p>
        </w:tc>
        <w:tc>
          <w:tcPr>
            <w:tcW w:w="2832" w:type="dxa"/>
            <w:tcBorders>
              <w:top w:val="single" w:sz="4" w:space="0" w:color="auto"/>
              <w:bottom w:val="single" w:sz="4" w:space="0" w:color="auto"/>
            </w:tcBorders>
            <w:shd w:val="clear" w:color="auto" w:fill="auto"/>
          </w:tcPr>
          <w:p w14:paraId="0A6E298F" w14:textId="77777777" w:rsidR="00305513" w:rsidRDefault="00305513" w:rsidP="00305513">
            <w:r>
              <w:t>1 January 2015</w:t>
            </w:r>
          </w:p>
        </w:tc>
        <w:tc>
          <w:tcPr>
            <w:tcW w:w="2833" w:type="dxa"/>
            <w:tcBorders>
              <w:top w:val="single" w:sz="4" w:space="0" w:color="auto"/>
              <w:bottom w:val="single" w:sz="4" w:space="0" w:color="auto"/>
              <w:right w:val="nil"/>
            </w:tcBorders>
            <w:shd w:val="clear" w:color="auto" w:fill="auto"/>
          </w:tcPr>
          <w:p w14:paraId="3F3D066D" w14:textId="77777777" w:rsidR="00305513" w:rsidRDefault="00305513" w:rsidP="00305513">
            <w:r>
              <w:t>23 June 2019</w:t>
            </w:r>
          </w:p>
        </w:tc>
      </w:tr>
      <w:tr w:rsidR="00305513" w14:paraId="44A8F3EA" w14:textId="77777777" w:rsidTr="00D57B85">
        <w:tc>
          <w:tcPr>
            <w:tcW w:w="2832" w:type="dxa"/>
            <w:tcBorders>
              <w:top w:val="single" w:sz="4" w:space="0" w:color="auto"/>
              <w:left w:val="nil"/>
              <w:bottom w:val="single" w:sz="4" w:space="0" w:color="auto"/>
            </w:tcBorders>
            <w:shd w:val="clear" w:color="auto" w:fill="auto"/>
          </w:tcPr>
          <w:p w14:paraId="76D01174" w14:textId="77777777" w:rsidR="00305513" w:rsidRDefault="00305513" w:rsidP="00305513">
            <w:r w:rsidRPr="00EA7F0A">
              <w:t>Karen Payne</w:t>
            </w:r>
          </w:p>
        </w:tc>
        <w:tc>
          <w:tcPr>
            <w:tcW w:w="2832" w:type="dxa"/>
            <w:tcBorders>
              <w:top w:val="single" w:sz="4" w:space="0" w:color="auto"/>
              <w:bottom w:val="single" w:sz="4" w:space="0" w:color="auto"/>
            </w:tcBorders>
            <w:shd w:val="clear" w:color="auto" w:fill="auto"/>
          </w:tcPr>
          <w:p w14:paraId="273A83BB" w14:textId="77777777" w:rsidR="00305513" w:rsidRDefault="00305513" w:rsidP="00305513">
            <w:r>
              <w:t>14 May 2015</w:t>
            </w:r>
          </w:p>
        </w:tc>
        <w:tc>
          <w:tcPr>
            <w:tcW w:w="2833" w:type="dxa"/>
            <w:tcBorders>
              <w:top w:val="single" w:sz="4" w:space="0" w:color="auto"/>
              <w:bottom w:val="single" w:sz="4" w:space="0" w:color="auto"/>
              <w:right w:val="nil"/>
            </w:tcBorders>
            <w:shd w:val="clear" w:color="auto" w:fill="auto"/>
          </w:tcPr>
          <w:p w14:paraId="0ADC68B1" w14:textId="77777777" w:rsidR="00305513" w:rsidRDefault="00305513" w:rsidP="00305513">
            <w:r>
              <w:t>5 May 2019</w:t>
            </w:r>
          </w:p>
        </w:tc>
      </w:tr>
      <w:tr w:rsidR="00305513" w14:paraId="282A2FE6" w14:textId="77777777" w:rsidTr="00D57B85">
        <w:tc>
          <w:tcPr>
            <w:tcW w:w="2832" w:type="dxa"/>
            <w:tcBorders>
              <w:top w:val="single" w:sz="4" w:space="0" w:color="auto"/>
              <w:left w:val="nil"/>
              <w:bottom w:val="single" w:sz="4" w:space="0" w:color="auto"/>
            </w:tcBorders>
            <w:shd w:val="clear" w:color="auto" w:fill="auto"/>
          </w:tcPr>
          <w:p w14:paraId="20A238E4" w14:textId="77777777" w:rsidR="00305513" w:rsidRDefault="00305513" w:rsidP="00305513">
            <w:proofErr w:type="spellStart"/>
            <w:r>
              <w:t>Rosheen</w:t>
            </w:r>
            <w:proofErr w:type="spellEnd"/>
            <w:r>
              <w:t xml:space="preserve"> Garnon</w:t>
            </w:r>
          </w:p>
        </w:tc>
        <w:tc>
          <w:tcPr>
            <w:tcW w:w="2832" w:type="dxa"/>
            <w:tcBorders>
              <w:top w:val="single" w:sz="4" w:space="0" w:color="auto"/>
              <w:bottom w:val="single" w:sz="4" w:space="0" w:color="auto"/>
            </w:tcBorders>
            <w:shd w:val="clear" w:color="auto" w:fill="auto"/>
          </w:tcPr>
          <w:p w14:paraId="0A6D575A" w14:textId="77777777" w:rsidR="00305513" w:rsidRDefault="00305513" w:rsidP="00305513">
            <w:r>
              <w:t>1 January 2018</w:t>
            </w:r>
          </w:p>
        </w:tc>
        <w:tc>
          <w:tcPr>
            <w:tcW w:w="2833" w:type="dxa"/>
            <w:tcBorders>
              <w:top w:val="single" w:sz="4" w:space="0" w:color="auto"/>
              <w:bottom w:val="single" w:sz="4" w:space="0" w:color="auto"/>
              <w:right w:val="nil"/>
            </w:tcBorders>
            <w:shd w:val="clear" w:color="auto" w:fill="auto"/>
          </w:tcPr>
          <w:p w14:paraId="1FBCC6FA" w14:textId="77777777" w:rsidR="00305513" w:rsidRDefault="00305513" w:rsidP="00305513">
            <w:r>
              <w:t xml:space="preserve">31 </w:t>
            </w:r>
            <w:r w:rsidRPr="003701A6">
              <w:t>December 2020</w:t>
            </w:r>
          </w:p>
        </w:tc>
      </w:tr>
      <w:tr w:rsidR="00305513" w14:paraId="5BA896E4" w14:textId="77777777" w:rsidTr="00D57B85">
        <w:tc>
          <w:tcPr>
            <w:tcW w:w="2832" w:type="dxa"/>
            <w:tcBorders>
              <w:top w:val="single" w:sz="4" w:space="0" w:color="auto"/>
              <w:left w:val="nil"/>
              <w:bottom w:val="single" w:sz="4" w:space="0" w:color="auto"/>
            </w:tcBorders>
            <w:shd w:val="clear" w:color="auto" w:fill="auto"/>
          </w:tcPr>
          <w:p w14:paraId="402A081B" w14:textId="0E7ADE00" w:rsidR="00305513" w:rsidRDefault="00305513" w:rsidP="00072649">
            <w:pPr>
              <w:spacing w:after="0"/>
              <w:jc w:val="left"/>
            </w:pPr>
            <w:r>
              <w:t xml:space="preserve">Dr Julianne </w:t>
            </w:r>
            <w:proofErr w:type="spellStart"/>
            <w:r>
              <w:t>Jaques</w:t>
            </w:r>
            <w:proofErr w:type="spellEnd"/>
            <w:r w:rsidR="00661590">
              <w:t xml:space="preserve"> </w:t>
            </w:r>
            <w:r w:rsidR="00072649">
              <w:br/>
            </w:r>
            <w:r w:rsidR="00661590">
              <w:t>(acting Chair)</w:t>
            </w:r>
          </w:p>
        </w:tc>
        <w:tc>
          <w:tcPr>
            <w:tcW w:w="2832" w:type="dxa"/>
            <w:tcBorders>
              <w:top w:val="single" w:sz="4" w:space="0" w:color="auto"/>
              <w:bottom w:val="single" w:sz="4" w:space="0" w:color="auto"/>
            </w:tcBorders>
            <w:shd w:val="clear" w:color="auto" w:fill="auto"/>
          </w:tcPr>
          <w:p w14:paraId="2785C4F5" w14:textId="77777777" w:rsidR="00305513" w:rsidRDefault="00305513" w:rsidP="00072649">
            <w:pPr>
              <w:spacing w:after="0"/>
            </w:pPr>
            <w:r>
              <w:t>1 July 2017</w:t>
            </w:r>
          </w:p>
        </w:tc>
        <w:tc>
          <w:tcPr>
            <w:tcW w:w="2833" w:type="dxa"/>
            <w:tcBorders>
              <w:top w:val="single" w:sz="4" w:space="0" w:color="auto"/>
              <w:bottom w:val="single" w:sz="4" w:space="0" w:color="auto"/>
              <w:right w:val="nil"/>
            </w:tcBorders>
            <w:shd w:val="clear" w:color="auto" w:fill="auto"/>
          </w:tcPr>
          <w:p w14:paraId="51E1B9FA" w14:textId="77777777" w:rsidR="00305513" w:rsidRDefault="00305513" w:rsidP="00072649">
            <w:pPr>
              <w:spacing w:after="0"/>
            </w:pPr>
            <w:r>
              <w:t>30 June 2020</w:t>
            </w:r>
          </w:p>
        </w:tc>
      </w:tr>
      <w:tr w:rsidR="00305513" w14:paraId="18D4CB6A" w14:textId="77777777" w:rsidTr="00D57B85">
        <w:tc>
          <w:tcPr>
            <w:tcW w:w="2832" w:type="dxa"/>
            <w:tcBorders>
              <w:top w:val="single" w:sz="4" w:space="0" w:color="auto"/>
              <w:left w:val="nil"/>
              <w:bottom w:val="single" w:sz="4" w:space="0" w:color="auto"/>
            </w:tcBorders>
            <w:shd w:val="clear" w:color="auto" w:fill="auto"/>
          </w:tcPr>
          <w:p w14:paraId="6DB19852" w14:textId="77777777" w:rsidR="00305513" w:rsidRDefault="00305513" w:rsidP="00305513">
            <w:r>
              <w:t>Neville Mitchell</w:t>
            </w:r>
          </w:p>
        </w:tc>
        <w:tc>
          <w:tcPr>
            <w:tcW w:w="2832" w:type="dxa"/>
            <w:tcBorders>
              <w:top w:val="single" w:sz="4" w:space="0" w:color="auto"/>
              <w:bottom w:val="single" w:sz="4" w:space="0" w:color="auto"/>
            </w:tcBorders>
            <w:shd w:val="clear" w:color="auto" w:fill="auto"/>
          </w:tcPr>
          <w:p w14:paraId="512D666B" w14:textId="77777777" w:rsidR="00305513" w:rsidRDefault="00305513" w:rsidP="00305513">
            <w:r>
              <w:t>14 May 2015</w:t>
            </w:r>
          </w:p>
        </w:tc>
        <w:tc>
          <w:tcPr>
            <w:tcW w:w="2833" w:type="dxa"/>
            <w:tcBorders>
              <w:top w:val="single" w:sz="4" w:space="0" w:color="auto"/>
              <w:bottom w:val="single" w:sz="4" w:space="0" w:color="auto"/>
              <w:right w:val="nil"/>
            </w:tcBorders>
            <w:shd w:val="clear" w:color="auto" w:fill="auto"/>
          </w:tcPr>
          <w:p w14:paraId="55BEEE9C" w14:textId="77777777" w:rsidR="00305513" w:rsidRDefault="00305513" w:rsidP="00305513">
            <w:r>
              <w:t>13 May 2021</w:t>
            </w:r>
          </w:p>
        </w:tc>
      </w:tr>
      <w:tr w:rsidR="00305513" w14:paraId="5E6B241D" w14:textId="77777777" w:rsidTr="00D57B85">
        <w:tc>
          <w:tcPr>
            <w:tcW w:w="2832" w:type="dxa"/>
            <w:tcBorders>
              <w:top w:val="single" w:sz="4" w:space="0" w:color="auto"/>
              <w:left w:val="nil"/>
              <w:bottom w:val="single" w:sz="4" w:space="0" w:color="auto"/>
            </w:tcBorders>
            <w:shd w:val="clear" w:color="auto" w:fill="auto"/>
          </w:tcPr>
          <w:p w14:paraId="368C54D6" w14:textId="77777777" w:rsidR="00305513" w:rsidRDefault="00305513" w:rsidP="00305513">
            <w:r>
              <w:t xml:space="preserve">Dr Mark </w:t>
            </w:r>
            <w:proofErr w:type="spellStart"/>
            <w:r>
              <w:t>Pizzacalla</w:t>
            </w:r>
            <w:proofErr w:type="spellEnd"/>
          </w:p>
        </w:tc>
        <w:tc>
          <w:tcPr>
            <w:tcW w:w="2832" w:type="dxa"/>
            <w:tcBorders>
              <w:top w:val="single" w:sz="4" w:space="0" w:color="auto"/>
              <w:bottom w:val="single" w:sz="4" w:space="0" w:color="auto"/>
            </w:tcBorders>
            <w:shd w:val="clear" w:color="auto" w:fill="auto"/>
          </w:tcPr>
          <w:p w14:paraId="409F597A" w14:textId="77777777" w:rsidR="00305513" w:rsidRDefault="00305513" w:rsidP="00305513">
            <w:r>
              <w:t>1 January 2015</w:t>
            </w:r>
          </w:p>
        </w:tc>
        <w:tc>
          <w:tcPr>
            <w:tcW w:w="2833" w:type="dxa"/>
            <w:tcBorders>
              <w:top w:val="single" w:sz="4" w:space="0" w:color="auto"/>
              <w:bottom w:val="single" w:sz="4" w:space="0" w:color="auto"/>
              <w:right w:val="nil"/>
            </w:tcBorders>
            <w:shd w:val="clear" w:color="auto" w:fill="auto"/>
          </w:tcPr>
          <w:p w14:paraId="3C387EF4" w14:textId="77777777" w:rsidR="00305513" w:rsidRDefault="00305513" w:rsidP="00305513">
            <w:r>
              <w:t>31 December 2020</w:t>
            </w:r>
          </w:p>
        </w:tc>
      </w:tr>
      <w:tr w:rsidR="00305513" w14:paraId="658D903B" w14:textId="77777777" w:rsidTr="00D57B85">
        <w:tc>
          <w:tcPr>
            <w:tcW w:w="2832" w:type="dxa"/>
            <w:tcBorders>
              <w:top w:val="single" w:sz="4" w:space="0" w:color="auto"/>
              <w:left w:val="nil"/>
              <w:bottom w:val="single" w:sz="4" w:space="0" w:color="auto"/>
            </w:tcBorders>
            <w:shd w:val="clear" w:color="auto" w:fill="auto"/>
          </w:tcPr>
          <w:p w14:paraId="4F5565B2" w14:textId="77777777" w:rsidR="00305513" w:rsidRDefault="00305513" w:rsidP="00305513">
            <w:r>
              <w:t>Ann</w:t>
            </w:r>
            <w:r>
              <w:noBreakHyphen/>
              <w:t>Maree Wolff</w:t>
            </w:r>
          </w:p>
        </w:tc>
        <w:tc>
          <w:tcPr>
            <w:tcW w:w="2832" w:type="dxa"/>
            <w:tcBorders>
              <w:top w:val="single" w:sz="4" w:space="0" w:color="auto"/>
              <w:bottom w:val="single" w:sz="4" w:space="0" w:color="auto"/>
            </w:tcBorders>
            <w:shd w:val="clear" w:color="auto" w:fill="auto"/>
          </w:tcPr>
          <w:p w14:paraId="1A2B2C7E" w14:textId="77777777" w:rsidR="00305513" w:rsidRDefault="00305513" w:rsidP="00305513">
            <w:r>
              <w:t>14 May 2015</w:t>
            </w:r>
          </w:p>
        </w:tc>
        <w:tc>
          <w:tcPr>
            <w:tcW w:w="2833" w:type="dxa"/>
            <w:tcBorders>
              <w:top w:val="single" w:sz="4" w:space="0" w:color="auto"/>
              <w:bottom w:val="single" w:sz="4" w:space="0" w:color="auto"/>
              <w:right w:val="nil"/>
            </w:tcBorders>
            <w:shd w:val="clear" w:color="auto" w:fill="auto"/>
          </w:tcPr>
          <w:p w14:paraId="0556948D" w14:textId="77777777" w:rsidR="00305513" w:rsidRDefault="00305513" w:rsidP="00305513">
            <w:r>
              <w:t>13 May 2021</w:t>
            </w:r>
          </w:p>
        </w:tc>
      </w:tr>
      <w:tr w:rsidR="00305513" w14:paraId="4C3F0424" w14:textId="77777777" w:rsidTr="00D57B85">
        <w:tc>
          <w:tcPr>
            <w:tcW w:w="2832" w:type="dxa"/>
            <w:tcBorders>
              <w:top w:val="single" w:sz="4" w:space="0" w:color="auto"/>
              <w:left w:val="nil"/>
              <w:bottom w:val="single" w:sz="4" w:space="0" w:color="auto"/>
            </w:tcBorders>
            <w:shd w:val="clear" w:color="auto" w:fill="auto"/>
          </w:tcPr>
          <w:p w14:paraId="02E30B51" w14:textId="77777777" w:rsidR="00305513" w:rsidRDefault="00305513" w:rsidP="00305513">
            <w:r>
              <w:t xml:space="preserve">Craig </w:t>
            </w:r>
            <w:proofErr w:type="spellStart"/>
            <w:r>
              <w:t>Yaxley</w:t>
            </w:r>
            <w:proofErr w:type="spellEnd"/>
          </w:p>
        </w:tc>
        <w:tc>
          <w:tcPr>
            <w:tcW w:w="2832" w:type="dxa"/>
            <w:tcBorders>
              <w:top w:val="single" w:sz="4" w:space="0" w:color="auto"/>
              <w:bottom w:val="single" w:sz="4" w:space="0" w:color="auto"/>
            </w:tcBorders>
            <w:shd w:val="clear" w:color="auto" w:fill="auto"/>
          </w:tcPr>
          <w:p w14:paraId="5B35DAC5" w14:textId="77777777" w:rsidR="00305513" w:rsidRDefault="00305513" w:rsidP="00305513">
            <w:r>
              <w:t>1 January 2015</w:t>
            </w:r>
          </w:p>
        </w:tc>
        <w:tc>
          <w:tcPr>
            <w:tcW w:w="2833" w:type="dxa"/>
            <w:tcBorders>
              <w:top w:val="single" w:sz="4" w:space="0" w:color="auto"/>
              <w:bottom w:val="single" w:sz="4" w:space="0" w:color="auto"/>
              <w:right w:val="nil"/>
            </w:tcBorders>
            <w:shd w:val="clear" w:color="auto" w:fill="auto"/>
          </w:tcPr>
          <w:p w14:paraId="3C16A830" w14:textId="77777777" w:rsidR="00305513" w:rsidRDefault="00305513" w:rsidP="00305513">
            <w:r>
              <w:t>31 December 2020</w:t>
            </w:r>
          </w:p>
        </w:tc>
      </w:tr>
      <w:tr w:rsidR="00305513" w14:paraId="3A0AAC20" w14:textId="77777777" w:rsidTr="00D57B85">
        <w:tc>
          <w:tcPr>
            <w:tcW w:w="2832" w:type="dxa"/>
            <w:tcBorders>
              <w:top w:val="single" w:sz="4" w:space="0" w:color="auto"/>
              <w:left w:val="nil"/>
              <w:bottom w:val="single" w:sz="4" w:space="0" w:color="auto"/>
            </w:tcBorders>
            <w:shd w:val="clear" w:color="auto" w:fill="auto"/>
          </w:tcPr>
          <w:p w14:paraId="288EB697" w14:textId="77777777" w:rsidR="00305513" w:rsidRDefault="00305513" w:rsidP="00305513">
            <w:r w:rsidRPr="00EA7F0A">
              <w:t>John Fraser</w:t>
            </w:r>
          </w:p>
        </w:tc>
        <w:tc>
          <w:tcPr>
            <w:tcW w:w="2832" w:type="dxa"/>
            <w:tcBorders>
              <w:top w:val="single" w:sz="4" w:space="0" w:color="auto"/>
              <w:bottom w:val="single" w:sz="4" w:space="0" w:color="auto"/>
            </w:tcBorders>
            <w:shd w:val="clear" w:color="auto" w:fill="auto"/>
          </w:tcPr>
          <w:p w14:paraId="05FF8CB6" w14:textId="77777777" w:rsidR="00305513" w:rsidRDefault="00305513" w:rsidP="00305513">
            <w:r>
              <w:t>8 December 2014</w:t>
            </w:r>
          </w:p>
        </w:tc>
        <w:tc>
          <w:tcPr>
            <w:tcW w:w="2833" w:type="dxa"/>
            <w:tcBorders>
              <w:top w:val="single" w:sz="4" w:space="0" w:color="auto"/>
              <w:bottom w:val="single" w:sz="4" w:space="0" w:color="auto"/>
              <w:right w:val="nil"/>
            </w:tcBorders>
            <w:shd w:val="clear" w:color="auto" w:fill="auto"/>
          </w:tcPr>
          <w:p w14:paraId="37C5CB07" w14:textId="77777777" w:rsidR="00305513" w:rsidRDefault="00305513" w:rsidP="00305513">
            <w:r>
              <w:t xml:space="preserve">31 July 2018 - </w:t>
            </w:r>
            <w:r w:rsidRPr="00646C80">
              <w:t>Ex</w:t>
            </w:r>
            <w:r w:rsidRPr="00646C80">
              <w:noBreakHyphen/>
              <w:t>officio</w:t>
            </w:r>
          </w:p>
        </w:tc>
      </w:tr>
      <w:tr w:rsidR="00305513" w14:paraId="2D5B78EB" w14:textId="77777777" w:rsidTr="00D57B85">
        <w:tc>
          <w:tcPr>
            <w:tcW w:w="2832" w:type="dxa"/>
            <w:tcBorders>
              <w:top w:val="single" w:sz="4" w:space="0" w:color="auto"/>
              <w:left w:val="nil"/>
              <w:bottom w:val="single" w:sz="4" w:space="0" w:color="auto"/>
            </w:tcBorders>
            <w:shd w:val="clear" w:color="auto" w:fill="auto"/>
          </w:tcPr>
          <w:p w14:paraId="467A26A2" w14:textId="77777777" w:rsidR="00305513" w:rsidRPr="00EA7F0A" w:rsidRDefault="00305513" w:rsidP="00305513">
            <w:r w:rsidRPr="00EA7F0A">
              <w:t>Phil</w:t>
            </w:r>
            <w:r>
              <w:t xml:space="preserve"> </w:t>
            </w:r>
            <w:proofErr w:type="spellStart"/>
            <w:r>
              <w:t>Gaetjens</w:t>
            </w:r>
            <w:proofErr w:type="spellEnd"/>
          </w:p>
        </w:tc>
        <w:tc>
          <w:tcPr>
            <w:tcW w:w="2832" w:type="dxa"/>
            <w:tcBorders>
              <w:top w:val="single" w:sz="4" w:space="0" w:color="auto"/>
              <w:bottom w:val="single" w:sz="4" w:space="0" w:color="auto"/>
            </w:tcBorders>
            <w:shd w:val="clear" w:color="auto" w:fill="auto"/>
          </w:tcPr>
          <w:p w14:paraId="5728FAFA" w14:textId="77777777" w:rsidR="00305513" w:rsidRDefault="00305513" w:rsidP="00305513">
            <w:r>
              <w:t>1 August 2018</w:t>
            </w:r>
          </w:p>
        </w:tc>
        <w:tc>
          <w:tcPr>
            <w:tcW w:w="2833" w:type="dxa"/>
            <w:tcBorders>
              <w:top w:val="single" w:sz="4" w:space="0" w:color="auto"/>
              <w:bottom w:val="single" w:sz="4" w:space="0" w:color="auto"/>
              <w:right w:val="nil"/>
            </w:tcBorders>
            <w:shd w:val="clear" w:color="auto" w:fill="auto"/>
          </w:tcPr>
          <w:p w14:paraId="5A3138C3" w14:textId="69F5A764" w:rsidR="00305513" w:rsidRPr="007A18A7" w:rsidRDefault="005D5342" w:rsidP="00305513">
            <w:pPr>
              <w:rPr>
                <w:highlight w:val="yellow"/>
              </w:rPr>
            </w:pPr>
            <w:r w:rsidRPr="007A18A7">
              <w:t xml:space="preserve">30 August 2019 </w:t>
            </w:r>
            <w:r w:rsidRPr="007A18A7">
              <w:noBreakHyphen/>
              <w:t xml:space="preserve"> </w:t>
            </w:r>
            <w:r w:rsidR="00305513" w:rsidRPr="00B846DF">
              <w:t>Ex</w:t>
            </w:r>
            <w:r w:rsidR="00305513" w:rsidRPr="00B846DF">
              <w:noBreakHyphen/>
              <w:t>officio</w:t>
            </w:r>
          </w:p>
        </w:tc>
      </w:tr>
      <w:tr w:rsidR="00305513" w14:paraId="580240DC" w14:textId="77777777" w:rsidTr="00D57B85">
        <w:tc>
          <w:tcPr>
            <w:tcW w:w="2832" w:type="dxa"/>
            <w:tcBorders>
              <w:top w:val="single" w:sz="4" w:space="0" w:color="auto"/>
              <w:left w:val="nil"/>
              <w:bottom w:val="single" w:sz="4" w:space="0" w:color="auto"/>
            </w:tcBorders>
            <w:shd w:val="clear" w:color="auto" w:fill="auto"/>
          </w:tcPr>
          <w:p w14:paraId="293A8E50" w14:textId="77777777" w:rsidR="00305513" w:rsidRPr="00EA7F0A" w:rsidRDefault="00305513" w:rsidP="00305513">
            <w:r>
              <w:t>Chris Jordan</w:t>
            </w:r>
            <w:r>
              <w:rPr>
                <w:vertAlign w:val="superscript"/>
              </w:rPr>
              <w:t>(a</w:t>
            </w:r>
            <w:r w:rsidRPr="005B623A">
              <w:rPr>
                <w:vertAlign w:val="superscript"/>
              </w:rPr>
              <w:t>)</w:t>
            </w:r>
            <w:r w:rsidRPr="005B623A">
              <w:t xml:space="preserve"> </w:t>
            </w:r>
            <w:r>
              <w:t>AO</w:t>
            </w:r>
          </w:p>
        </w:tc>
        <w:tc>
          <w:tcPr>
            <w:tcW w:w="2832" w:type="dxa"/>
            <w:tcBorders>
              <w:top w:val="single" w:sz="4" w:space="0" w:color="auto"/>
              <w:bottom w:val="single" w:sz="4" w:space="0" w:color="auto"/>
            </w:tcBorders>
            <w:shd w:val="clear" w:color="auto" w:fill="auto"/>
          </w:tcPr>
          <w:p w14:paraId="46725CB8" w14:textId="77777777" w:rsidR="00305513" w:rsidRDefault="00305513" w:rsidP="00305513">
            <w:r>
              <w:t>1 January 2013</w:t>
            </w:r>
          </w:p>
        </w:tc>
        <w:tc>
          <w:tcPr>
            <w:tcW w:w="2833" w:type="dxa"/>
            <w:tcBorders>
              <w:top w:val="single" w:sz="4" w:space="0" w:color="auto"/>
              <w:bottom w:val="single" w:sz="4" w:space="0" w:color="auto"/>
              <w:right w:val="nil"/>
            </w:tcBorders>
            <w:shd w:val="clear" w:color="auto" w:fill="auto"/>
          </w:tcPr>
          <w:p w14:paraId="2C5BC787" w14:textId="77777777" w:rsidR="00305513" w:rsidRPr="00646C80" w:rsidRDefault="00305513" w:rsidP="00305513">
            <w:r w:rsidRPr="00646C80">
              <w:t>Ex</w:t>
            </w:r>
            <w:r w:rsidRPr="00646C80">
              <w:noBreakHyphen/>
              <w:t>officio</w:t>
            </w:r>
          </w:p>
        </w:tc>
      </w:tr>
      <w:tr w:rsidR="00305513" w14:paraId="53FC3971" w14:textId="77777777" w:rsidTr="00D57B85">
        <w:tc>
          <w:tcPr>
            <w:tcW w:w="2832" w:type="dxa"/>
            <w:tcBorders>
              <w:top w:val="single" w:sz="4" w:space="0" w:color="auto"/>
              <w:left w:val="nil"/>
              <w:bottom w:val="single" w:sz="4" w:space="0" w:color="auto"/>
            </w:tcBorders>
            <w:shd w:val="clear" w:color="auto" w:fill="auto"/>
          </w:tcPr>
          <w:p w14:paraId="697F2850" w14:textId="77777777" w:rsidR="00305513" w:rsidRDefault="00305513" w:rsidP="00305513">
            <w:r>
              <w:t>Peter Quiggin PSM</w:t>
            </w:r>
          </w:p>
        </w:tc>
        <w:tc>
          <w:tcPr>
            <w:tcW w:w="2832" w:type="dxa"/>
            <w:tcBorders>
              <w:top w:val="single" w:sz="4" w:space="0" w:color="auto"/>
              <w:bottom w:val="single" w:sz="4" w:space="0" w:color="auto"/>
            </w:tcBorders>
            <w:shd w:val="clear" w:color="auto" w:fill="auto"/>
          </w:tcPr>
          <w:p w14:paraId="4E3A7096" w14:textId="77777777" w:rsidR="00305513" w:rsidRDefault="00305513" w:rsidP="00305513">
            <w:r>
              <w:t>19 January 2004</w:t>
            </w:r>
          </w:p>
        </w:tc>
        <w:tc>
          <w:tcPr>
            <w:tcW w:w="2833" w:type="dxa"/>
            <w:tcBorders>
              <w:top w:val="single" w:sz="4" w:space="0" w:color="auto"/>
              <w:bottom w:val="single" w:sz="4" w:space="0" w:color="auto"/>
              <w:right w:val="nil"/>
            </w:tcBorders>
            <w:shd w:val="clear" w:color="auto" w:fill="auto"/>
          </w:tcPr>
          <w:p w14:paraId="32FDF712" w14:textId="77777777" w:rsidR="00305513" w:rsidRPr="00646C80" w:rsidRDefault="00305513" w:rsidP="00305513">
            <w:r w:rsidRPr="00646C80">
              <w:t>Ex</w:t>
            </w:r>
            <w:r w:rsidRPr="00646C80">
              <w:noBreakHyphen/>
              <w:t>officio</w:t>
            </w:r>
          </w:p>
        </w:tc>
      </w:tr>
    </w:tbl>
    <w:p w14:paraId="0E347DF8" w14:textId="77777777" w:rsidR="00305513" w:rsidRPr="00D57B85" w:rsidRDefault="00D57B85" w:rsidP="00305513">
      <w:pPr>
        <w:rPr>
          <w:sz w:val="20"/>
          <w:szCs w:val="20"/>
        </w:rPr>
      </w:pPr>
      <w:r w:rsidRPr="00D57B85">
        <w:rPr>
          <w:sz w:val="20"/>
          <w:szCs w:val="20"/>
        </w:rPr>
        <w:t>(a) Chris Jordan AO has been a member of the Board in various capacities since 14 September 2000.</w:t>
      </w:r>
    </w:p>
    <w:p w14:paraId="0ED14560" w14:textId="77777777" w:rsidR="00305513" w:rsidRDefault="00D632FA" w:rsidP="00D632FA">
      <w:pPr>
        <w:pStyle w:val="Heading1"/>
      </w:pPr>
      <w:bookmarkStart w:id="23" w:name="_Toc27652708"/>
      <w:r>
        <w:lastRenderedPageBreak/>
        <w:t>Appendix C: Board Working Groups and Private Sector Secondments</w:t>
      </w:r>
      <w:bookmarkEnd w:id="23"/>
    </w:p>
    <w:p w14:paraId="0D5F22C9" w14:textId="77777777" w:rsidR="00D632FA" w:rsidRDefault="00D632FA" w:rsidP="00D632FA">
      <w:pPr>
        <w:pStyle w:val="TableMainHeading"/>
      </w:pPr>
      <w:bookmarkStart w:id="24" w:name="_Toc27652716"/>
      <w:r>
        <w:t xml:space="preserve">Table </w:t>
      </w:r>
      <w:r w:rsidR="00613C39">
        <w:t>3</w:t>
      </w:r>
      <w:r>
        <w:t>: Membership of Board Working Groups, 2018</w:t>
      </w:r>
      <w:r>
        <w:noBreakHyphen/>
        <w:t>19</w:t>
      </w:r>
      <w:bookmarkEnd w:id="24"/>
    </w:p>
    <w:p w14:paraId="15C62142" w14:textId="77777777" w:rsidR="00D632FA" w:rsidRDefault="000B0255" w:rsidP="000B0255">
      <w:r>
        <w:t>Note: All working groups are supported by Government officials from other agencies in particular Treasury and the ATO.</w:t>
      </w:r>
    </w:p>
    <w:p w14:paraId="6CF6A934" w14:textId="77777777" w:rsidR="000B0255" w:rsidRDefault="00A07258" w:rsidP="00A07258">
      <w:pPr>
        <w:pStyle w:val="TableMainHeadingContd"/>
      </w:pPr>
      <w:r>
        <w:t>Completed references</w:t>
      </w:r>
    </w:p>
    <w:tbl>
      <w:tblPr>
        <w:tblStyle w:val="TableGrid"/>
        <w:tblW w:w="0" w:type="auto"/>
        <w:tblLook w:val="04A0" w:firstRow="1" w:lastRow="0" w:firstColumn="1" w:lastColumn="0" w:noHBand="0" w:noVBand="1"/>
      </w:tblPr>
      <w:tblGrid>
        <w:gridCol w:w="4248"/>
        <w:gridCol w:w="4249"/>
      </w:tblGrid>
      <w:tr w:rsidR="00262771" w14:paraId="782A69E6" w14:textId="77777777" w:rsidTr="005D5342">
        <w:trPr>
          <w:cnfStyle w:val="100000000000" w:firstRow="1" w:lastRow="0" w:firstColumn="0" w:lastColumn="0" w:oddVBand="0" w:evenVBand="0" w:oddHBand="0" w:evenHBand="0" w:firstRowFirstColumn="0" w:firstRowLastColumn="0" w:lastRowFirstColumn="0" w:lastRowLastColumn="0"/>
        </w:trPr>
        <w:tc>
          <w:tcPr>
            <w:tcW w:w="4248" w:type="dxa"/>
            <w:tcBorders>
              <w:bottom w:val="nil"/>
              <w:right w:val="single" w:sz="4" w:space="0" w:color="auto"/>
            </w:tcBorders>
          </w:tcPr>
          <w:p w14:paraId="4DC633FD" w14:textId="77777777" w:rsidR="00262771" w:rsidRDefault="00262771" w:rsidP="00262771">
            <w:pPr>
              <w:pStyle w:val="TableColumnHeadingLeft"/>
            </w:pPr>
            <w:r>
              <w:t>Reforming the income tax residency rules for individuals</w:t>
            </w:r>
          </w:p>
        </w:tc>
        <w:tc>
          <w:tcPr>
            <w:tcW w:w="4249" w:type="dxa"/>
            <w:tcBorders>
              <w:top w:val="single" w:sz="4" w:space="0" w:color="3F6294"/>
              <w:left w:val="single" w:sz="4" w:space="0" w:color="auto"/>
              <w:bottom w:val="nil"/>
            </w:tcBorders>
          </w:tcPr>
          <w:p w14:paraId="47C553BE" w14:textId="77777777" w:rsidR="00262771" w:rsidRDefault="00262771" w:rsidP="00262771">
            <w:pPr>
              <w:pStyle w:val="TableColumnHeadingLeft"/>
            </w:pPr>
            <w:r>
              <w:t>Review of small business tax concessions</w:t>
            </w:r>
          </w:p>
        </w:tc>
      </w:tr>
      <w:tr w:rsidR="00262771" w14:paraId="6CE16998" w14:textId="77777777" w:rsidTr="005D5342">
        <w:tc>
          <w:tcPr>
            <w:tcW w:w="4248" w:type="dxa"/>
            <w:tcBorders>
              <w:top w:val="nil"/>
              <w:bottom w:val="single" w:sz="4" w:space="0" w:color="3F6294"/>
              <w:right w:val="single" w:sz="4" w:space="0" w:color="auto"/>
            </w:tcBorders>
            <w:shd w:val="clear" w:color="auto" w:fill="auto"/>
          </w:tcPr>
          <w:p w14:paraId="0E2DA082" w14:textId="7103DAAC" w:rsidR="00262771" w:rsidRDefault="00262771" w:rsidP="008D1CD0">
            <w:pPr>
              <w:pStyle w:val="TableTextLeft"/>
            </w:pPr>
            <w:proofErr w:type="spellStart"/>
            <w:r w:rsidRPr="00571386">
              <w:t>Rosheen</w:t>
            </w:r>
            <w:proofErr w:type="spellEnd"/>
            <w:r w:rsidRPr="00571386">
              <w:t xml:space="preserve"> Garnon (Chair)</w:t>
            </w:r>
            <w:r w:rsidRPr="00571386">
              <w:br/>
            </w:r>
            <w:r w:rsidR="00901A34">
              <w:t xml:space="preserve">Dr </w:t>
            </w:r>
            <w:r w:rsidRPr="00571386">
              <w:t xml:space="preserve">Mark </w:t>
            </w:r>
            <w:proofErr w:type="spellStart"/>
            <w:r w:rsidRPr="00571386">
              <w:t>Pizzacalla</w:t>
            </w:r>
            <w:proofErr w:type="spellEnd"/>
            <w:r w:rsidRPr="00571386">
              <w:br/>
              <w:t xml:space="preserve">Craig </w:t>
            </w:r>
            <w:proofErr w:type="spellStart"/>
            <w:r w:rsidRPr="00571386">
              <w:t>Yaxley</w:t>
            </w:r>
            <w:proofErr w:type="spellEnd"/>
          </w:p>
        </w:tc>
        <w:tc>
          <w:tcPr>
            <w:tcW w:w="4249" w:type="dxa"/>
            <w:tcBorders>
              <w:top w:val="nil"/>
              <w:left w:val="single" w:sz="4" w:space="0" w:color="auto"/>
              <w:bottom w:val="single" w:sz="4" w:space="0" w:color="3F6294"/>
            </w:tcBorders>
            <w:shd w:val="clear" w:color="auto" w:fill="auto"/>
          </w:tcPr>
          <w:p w14:paraId="077349C3" w14:textId="739357C0" w:rsidR="00262771" w:rsidRDefault="00901A34" w:rsidP="005D11D0">
            <w:pPr>
              <w:pStyle w:val="TableTextLeft"/>
            </w:pPr>
            <w:r>
              <w:t xml:space="preserve">Dr </w:t>
            </w:r>
            <w:r w:rsidR="00262771">
              <w:t xml:space="preserve">Mark </w:t>
            </w:r>
            <w:proofErr w:type="spellStart"/>
            <w:r w:rsidR="00262771">
              <w:t>Pizzacalla</w:t>
            </w:r>
            <w:proofErr w:type="spellEnd"/>
            <w:r w:rsidR="00985760">
              <w:t xml:space="preserve"> (Chair)</w:t>
            </w:r>
            <w:r w:rsidR="00262771" w:rsidRPr="00571386">
              <w:br/>
            </w:r>
            <w:r w:rsidR="00262771">
              <w:t>Peter Quiggin PSM</w:t>
            </w:r>
            <w:r w:rsidR="005D11D0">
              <w:br/>
            </w:r>
            <w:r w:rsidR="005D11D0" w:rsidRPr="005D11D0">
              <w:t>Michael Carruthers</w:t>
            </w:r>
            <w:r w:rsidR="005D11D0">
              <w:br/>
            </w:r>
            <w:r w:rsidR="005D11D0" w:rsidRPr="005D11D0">
              <w:t>Professor Chris Evans</w:t>
            </w:r>
            <w:r w:rsidR="005D11D0">
              <w:br/>
            </w:r>
            <w:r w:rsidR="005D11D0" w:rsidRPr="005D11D0">
              <w:t xml:space="preserve">Susan </w:t>
            </w:r>
            <w:r w:rsidR="005D11D0">
              <w:t>Franks</w:t>
            </w:r>
            <w:r w:rsidR="005D11D0">
              <w:br/>
            </w:r>
            <w:r w:rsidR="005D11D0" w:rsidRPr="005D11D0">
              <w:t>Dr Brett Freudenberg</w:t>
            </w:r>
            <w:r w:rsidR="005D11D0">
              <w:br/>
            </w:r>
            <w:r w:rsidR="005D11D0" w:rsidRPr="005D11D0">
              <w:t>Tony Greco</w:t>
            </w:r>
            <w:r w:rsidR="005D11D0">
              <w:br/>
            </w:r>
            <w:r w:rsidR="005D11D0" w:rsidRPr="005D11D0">
              <w:t>Michael Parker</w:t>
            </w:r>
            <w:r w:rsidR="005D11D0">
              <w:br/>
              <w:t>S</w:t>
            </w:r>
            <w:r w:rsidR="005D11D0" w:rsidRPr="005D11D0">
              <w:t>hannon Smit</w:t>
            </w:r>
            <w:r w:rsidR="005D11D0">
              <w:br/>
            </w:r>
            <w:r w:rsidR="005D11D0" w:rsidRPr="005D11D0">
              <w:t xml:space="preserve">Chris </w:t>
            </w:r>
            <w:proofErr w:type="spellStart"/>
            <w:r w:rsidR="005D11D0" w:rsidRPr="005D11D0">
              <w:t>Wookey</w:t>
            </w:r>
            <w:proofErr w:type="spellEnd"/>
          </w:p>
        </w:tc>
      </w:tr>
    </w:tbl>
    <w:p w14:paraId="1E9CEF6C" w14:textId="77777777" w:rsidR="000B0255" w:rsidRDefault="000B0255" w:rsidP="000B0255"/>
    <w:tbl>
      <w:tblPr>
        <w:tblStyle w:val="TableGrid"/>
        <w:tblW w:w="0" w:type="auto"/>
        <w:tblLook w:val="04A0" w:firstRow="1" w:lastRow="0" w:firstColumn="1" w:lastColumn="0" w:noHBand="0" w:noVBand="1"/>
      </w:tblPr>
      <w:tblGrid>
        <w:gridCol w:w="4248"/>
        <w:gridCol w:w="4249"/>
      </w:tblGrid>
      <w:tr w:rsidR="00262771" w14:paraId="67292BB5" w14:textId="77777777" w:rsidTr="005D5342">
        <w:trPr>
          <w:cnfStyle w:val="100000000000" w:firstRow="1" w:lastRow="0" w:firstColumn="0" w:lastColumn="0" w:oddVBand="0" w:evenVBand="0" w:oddHBand="0" w:evenHBand="0" w:firstRowFirstColumn="0" w:firstRowLastColumn="0" w:lastRowFirstColumn="0" w:lastRowLastColumn="0"/>
        </w:trPr>
        <w:tc>
          <w:tcPr>
            <w:tcW w:w="4248" w:type="dxa"/>
            <w:tcBorders>
              <w:bottom w:val="nil"/>
              <w:right w:val="single" w:sz="4" w:space="0" w:color="auto"/>
            </w:tcBorders>
          </w:tcPr>
          <w:p w14:paraId="0599B7D0" w14:textId="77777777" w:rsidR="00262771" w:rsidRDefault="00985760" w:rsidP="00D76266">
            <w:pPr>
              <w:pStyle w:val="TableColumnHeadingLeft"/>
            </w:pPr>
            <w:r>
              <w:t>Tax and innovation in Australian agriculture</w:t>
            </w:r>
          </w:p>
        </w:tc>
        <w:tc>
          <w:tcPr>
            <w:tcW w:w="4249" w:type="dxa"/>
            <w:tcBorders>
              <w:top w:val="single" w:sz="4" w:space="0" w:color="3F6294"/>
              <w:left w:val="single" w:sz="4" w:space="0" w:color="auto"/>
              <w:bottom w:val="nil"/>
            </w:tcBorders>
          </w:tcPr>
          <w:p w14:paraId="752D552A" w14:textId="1C510A72" w:rsidR="00262771" w:rsidRDefault="0059235B" w:rsidP="0059235B">
            <w:pPr>
              <w:pStyle w:val="TableColumnHeadingLeft"/>
            </w:pPr>
            <w:r>
              <w:t>R</w:t>
            </w:r>
            <w:r w:rsidRPr="0059235B">
              <w:t xml:space="preserve">eview of the income tax treatment of certain forms of deferred consideration </w:t>
            </w:r>
          </w:p>
        </w:tc>
      </w:tr>
      <w:tr w:rsidR="00262771" w14:paraId="7F4491C4" w14:textId="77777777" w:rsidTr="005D5342">
        <w:tc>
          <w:tcPr>
            <w:tcW w:w="4248" w:type="dxa"/>
            <w:tcBorders>
              <w:top w:val="nil"/>
              <w:bottom w:val="single" w:sz="4" w:space="0" w:color="3F6294"/>
              <w:right w:val="single" w:sz="4" w:space="0" w:color="auto"/>
            </w:tcBorders>
            <w:shd w:val="clear" w:color="auto" w:fill="auto"/>
          </w:tcPr>
          <w:p w14:paraId="317EBDE9" w14:textId="77777777" w:rsidR="00262771" w:rsidRDefault="00985760" w:rsidP="008D1CD0">
            <w:pPr>
              <w:pStyle w:val="TableTextLeft"/>
            </w:pPr>
            <w:r>
              <w:t>Neville Mitchell (Chair)</w:t>
            </w:r>
            <w:r w:rsidRPr="00571386">
              <w:br/>
            </w:r>
            <w:r>
              <w:t>Karen Payne</w:t>
            </w:r>
          </w:p>
        </w:tc>
        <w:tc>
          <w:tcPr>
            <w:tcW w:w="4249" w:type="dxa"/>
            <w:tcBorders>
              <w:top w:val="nil"/>
              <w:left w:val="single" w:sz="4" w:space="0" w:color="auto"/>
              <w:bottom w:val="single" w:sz="4" w:space="0" w:color="3F6294"/>
            </w:tcBorders>
            <w:shd w:val="clear" w:color="auto" w:fill="auto"/>
          </w:tcPr>
          <w:p w14:paraId="6648507C" w14:textId="3107A387" w:rsidR="00262771" w:rsidRDefault="00985760" w:rsidP="00985760">
            <w:pPr>
              <w:pStyle w:val="TableTextLeft"/>
            </w:pPr>
            <w:r>
              <w:t>Ann</w:t>
            </w:r>
            <w:r>
              <w:noBreakHyphen/>
              <w:t>Maree Wolff</w:t>
            </w:r>
            <w:r w:rsidRPr="00571386">
              <w:t xml:space="preserve"> (Chair)</w:t>
            </w:r>
            <w:r w:rsidRPr="00571386">
              <w:br/>
            </w:r>
            <w:r w:rsidR="00901A34">
              <w:t xml:space="preserve">Dr </w:t>
            </w:r>
            <w:r w:rsidRPr="00571386">
              <w:t xml:space="preserve">Mark </w:t>
            </w:r>
            <w:proofErr w:type="spellStart"/>
            <w:r w:rsidRPr="00571386">
              <w:t>Pizzacalla</w:t>
            </w:r>
            <w:proofErr w:type="spellEnd"/>
            <w:r w:rsidRPr="00571386">
              <w:br/>
              <w:t xml:space="preserve">Craig </w:t>
            </w:r>
            <w:proofErr w:type="spellStart"/>
            <w:r w:rsidRPr="00571386">
              <w:t>Yaxley</w:t>
            </w:r>
            <w:proofErr w:type="spellEnd"/>
            <w:r w:rsidR="008D1CD0" w:rsidRPr="00571386">
              <w:br/>
            </w:r>
            <w:r w:rsidR="008D1CD0">
              <w:t xml:space="preserve">Andrew </w:t>
            </w:r>
            <w:proofErr w:type="spellStart"/>
            <w:r w:rsidR="008D1CD0">
              <w:t>Noolan</w:t>
            </w:r>
            <w:proofErr w:type="spellEnd"/>
            <w:r w:rsidR="008D1CD0" w:rsidRPr="00571386">
              <w:br/>
            </w:r>
            <w:r w:rsidR="008D1CD0">
              <w:t xml:space="preserve">Anthony </w:t>
            </w:r>
            <w:proofErr w:type="spellStart"/>
            <w:r w:rsidR="008D1CD0">
              <w:t>Portas</w:t>
            </w:r>
            <w:proofErr w:type="spellEnd"/>
            <w:r w:rsidR="008D1CD0" w:rsidRPr="00571386">
              <w:br/>
            </w:r>
            <w:r w:rsidR="008D1CD0">
              <w:t>Cameron Rider</w:t>
            </w:r>
            <w:r w:rsidR="008D1CD0" w:rsidRPr="00571386">
              <w:br/>
            </w:r>
            <w:r w:rsidR="008D1CD0">
              <w:t>Hayden Scott</w:t>
            </w:r>
            <w:r w:rsidR="008D1CD0" w:rsidRPr="00571386">
              <w:br/>
            </w:r>
            <w:r w:rsidR="008D1CD0">
              <w:t xml:space="preserve">Andrew Van </w:t>
            </w:r>
            <w:proofErr w:type="spellStart"/>
            <w:r w:rsidR="008D1CD0">
              <w:t>Dinter</w:t>
            </w:r>
            <w:proofErr w:type="spellEnd"/>
          </w:p>
        </w:tc>
      </w:tr>
    </w:tbl>
    <w:p w14:paraId="0498FB8D" w14:textId="77777777" w:rsidR="00262771" w:rsidRDefault="00262771" w:rsidP="000B0255"/>
    <w:p w14:paraId="7BF700B3" w14:textId="77777777" w:rsidR="00BA02AE" w:rsidRDefault="00BA02AE" w:rsidP="00BA02AE">
      <w:pPr>
        <w:pStyle w:val="TableMainHeadingContd"/>
      </w:pPr>
      <w:r>
        <w:t>Broader work of the Board</w:t>
      </w:r>
    </w:p>
    <w:tbl>
      <w:tblPr>
        <w:tblStyle w:val="TableGrid"/>
        <w:tblW w:w="0" w:type="auto"/>
        <w:tblLook w:val="04A0" w:firstRow="1" w:lastRow="0" w:firstColumn="1" w:lastColumn="0" w:noHBand="0" w:noVBand="1"/>
      </w:tblPr>
      <w:tblGrid>
        <w:gridCol w:w="4248"/>
        <w:gridCol w:w="4249"/>
      </w:tblGrid>
      <w:tr w:rsidR="00BA02AE" w14:paraId="29865DBB" w14:textId="77777777" w:rsidTr="005D5342">
        <w:trPr>
          <w:cnfStyle w:val="100000000000" w:firstRow="1" w:lastRow="0" w:firstColumn="0" w:lastColumn="0" w:oddVBand="0" w:evenVBand="0" w:oddHBand="0" w:evenHBand="0" w:firstRowFirstColumn="0" w:firstRowLastColumn="0" w:lastRowFirstColumn="0" w:lastRowLastColumn="0"/>
        </w:trPr>
        <w:tc>
          <w:tcPr>
            <w:tcW w:w="4248" w:type="dxa"/>
            <w:tcBorders>
              <w:bottom w:val="nil"/>
              <w:right w:val="single" w:sz="4" w:space="0" w:color="auto"/>
            </w:tcBorders>
          </w:tcPr>
          <w:p w14:paraId="4DE2C0DF" w14:textId="77777777" w:rsidR="00BA02AE" w:rsidRDefault="00BA02AE" w:rsidP="00D76266">
            <w:pPr>
              <w:pStyle w:val="TableColumnHeadingLeft"/>
            </w:pPr>
            <w:r>
              <w:t>Fringe benefits tax compliance cost review</w:t>
            </w:r>
          </w:p>
        </w:tc>
        <w:tc>
          <w:tcPr>
            <w:tcW w:w="4249" w:type="dxa"/>
            <w:tcBorders>
              <w:top w:val="single" w:sz="4" w:space="0" w:color="3F6294"/>
              <w:left w:val="single" w:sz="4" w:space="0" w:color="auto"/>
              <w:bottom w:val="nil"/>
            </w:tcBorders>
          </w:tcPr>
          <w:p w14:paraId="0F0E0FF2" w14:textId="77777777" w:rsidR="00BA02AE" w:rsidRDefault="00BA02AE" w:rsidP="00D76266">
            <w:pPr>
              <w:pStyle w:val="TableColumnHeadingLeft"/>
            </w:pPr>
            <w:r>
              <w:t>Review of the tax implications of granny flat arrangements</w:t>
            </w:r>
          </w:p>
        </w:tc>
      </w:tr>
      <w:tr w:rsidR="00BA02AE" w14:paraId="5BF67D49" w14:textId="77777777" w:rsidTr="005D5342">
        <w:tc>
          <w:tcPr>
            <w:tcW w:w="4248" w:type="dxa"/>
            <w:tcBorders>
              <w:top w:val="nil"/>
              <w:bottom w:val="single" w:sz="4" w:space="0" w:color="3F6294"/>
              <w:right w:val="single" w:sz="4" w:space="0" w:color="auto"/>
            </w:tcBorders>
            <w:shd w:val="clear" w:color="auto" w:fill="auto"/>
          </w:tcPr>
          <w:p w14:paraId="22C685DC" w14:textId="77777777" w:rsidR="00BA02AE" w:rsidRDefault="00DA2878" w:rsidP="00DA2878">
            <w:pPr>
              <w:pStyle w:val="TableTextLeft"/>
            </w:pPr>
            <w:proofErr w:type="spellStart"/>
            <w:r w:rsidRPr="00571386">
              <w:t>Rosheen</w:t>
            </w:r>
            <w:proofErr w:type="spellEnd"/>
            <w:r w:rsidRPr="00571386">
              <w:t xml:space="preserve"> Garnon (Chair)</w:t>
            </w:r>
            <w:r w:rsidRPr="00571386">
              <w:br/>
            </w:r>
            <w:r>
              <w:t>Karen Payne</w:t>
            </w:r>
            <w:r w:rsidRPr="00571386">
              <w:br/>
            </w:r>
            <w:r>
              <w:t>Neville Mitchell</w:t>
            </w:r>
            <w:r w:rsidR="008D1CD0">
              <w:t xml:space="preserve"> </w:t>
            </w:r>
            <w:r w:rsidR="008D1CD0" w:rsidRPr="00571386">
              <w:br/>
            </w:r>
            <w:r w:rsidR="008D1CD0">
              <w:t>Tony Principe</w:t>
            </w:r>
            <w:r w:rsidR="008D1CD0" w:rsidRPr="00571386">
              <w:br/>
            </w:r>
            <w:proofErr w:type="spellStart"/>
            <w:r w:rsidR="008D1CD0">
              <w:t>Binh</w:t>
            </w:r>
            <w:proofErr w:type="spellEnd"/>
            <w:r w:rsidR="008D1CD0">
              <w:t xml:space="preserve"> Tran</w:t>
            </w:r>
            <w:r w:rsidR="008D1CD0">
              <w:noBreakHyphen/>
              <w:t>Nam</w:t>
            </w:r>
          </w:p>
        </w:tc>
        <w:tc>
          <w:tcPr>
            <w:tcW w:w="4249" w:type="dxa"/>
            <w:tcBorders>
              <w:top w:val="nil"/>
              <w:left w:val="single" w:sz="4" w:space="0" w:color="auto"/>
              <w:bottom w:val="single" w:sz="4" w:space="0" w:color="3F6294"/>
            </w:tcBorders>
            <w:shd w:val="clear" w:color="auto" w:fill="auto"/>
          </w:tcPr>
          <w:p w14:paraId="350A01DE" w14:textId="77777777" w:rsidR="00BA02AE" w:rsidRDefault="00DA2878" w:rsidP="00D76266">
            <w:pPr>
              <w:pStyle w:val="TableTextLeft"/>
            </w:pPr>
            <w:r>
              <w:t xml:space="preserve">Craig </w:t>
            </w:r>
            <w:proofErr w:type="spellStart"/>
            <w:r>
              <w:t>Yaxley</w:t>
            </w:r>
            <w:proofErr w:type="spellEnd"/>
            <w:r>
              <w:t xml:space="preserve"> (Chair)</w:t>
            </w:r>
            <w:r w:rsidRPr="00571386">
              <w:t xml:space="preserve"> </w:t>
            </w:r>
            <w:r w:rsidRPr="00571386">
              <w:br/>
            </w:r>
            <w:r>
              <w:t>Neville Mitchell</w:t>
            </w:r>
            <w:r w:rsidRPr="00571386">
              <w:br/>
            </w:r>
            <w:r>
              <w:t>Peter Quiggin PSM</w:t>
            </w:r>
            <w:r w:rsidRPr="00571386">
              <w:br/>
            </w:r>
            <w:r>
              <w:t>Karen Payne</w:t>
            </w:r>
          </w:p>
        </w:tc>
      </w:tr>
    </w:tbl>
    <w:p w14:paraId="1A3138FB" w14:textId="77777777" w:rsidR="00BA02AE" w:rsidRDefault="00BA02AE" w:rsidP="00BA02AE"/>
    <w:tbl>
      <w:tblPr>
        <w:tblStyle w:val="TableGrid"/>
        <w:tblW w:w="0" w:type="auto"/>
        <w:tblLook w:val="04A0" w:firstRow="1" w:lastRow="0" w:firstColumn="1" w:lastColumn="0" w:noHBand="0" w:noVBand="1"/>
      </w:tblPr>
      <w:tblGrid>
        <w:gridCol w:w="4248"/>
        <w:gridCol w:w="4249"/>
      </w:tblGrid>
      <w:tr w:rsidR="00BA02AE" w14:paraId="65729B9A" w14:textId="77777777" w:rsidTr="005D5342">
        <w:trPr>
          <w:cnfStyle w:val="100000000000" w:firstRow="1" w:lastRow="0" w:firstColumn="0" w:lastColumn="0" w:oddVBand="0" w:evenVBand="0" w:oddHBand="0" w:evenHBand="0" w:firstRowFirstColumn="0" w:firstRowLastColumn="0" w:lastRowFirstColumn="0" w:lastRowLastColumn="0"/>
        </w:trPr>
        <w:tc>
          <w:tcPr>
            <w:tcW w:w="4248" w:type="dxa"/>
            <w:tcBorders>
              <w:bottom w:val="nil"/>
              <w:right w:val="single" w:sz="4" w:space="0" w:color="auto"/>
            </w:tcBorders>
          </w:tcPr>
          <w:p w14:paraId="6D63B864" w14:textId="77777777" w:rsidR="00BA02AE" w:rsidRDefault="00EB18B1" w:rsidP="00D76266">
            <w:pPr>
              <w:pStyle w:val="TableColumnHeadingLeft"/>
            </w:pPr>
            <w:r>
              <w:lastRenderedPageBreak/>
              <w:t>Post</w:t>
            </w:r>
            <w:r>
              <w:noBreakHyphen/>
              <w:t>implementation review of the voluntary tax transparency code</w:t>
            </w:r>
          </w:p>
        </w:tc>
        <w:tc>
          <w:tcPr>
            <w:tcW w:w="4249" w:type="dxa"/>
            <w:tcBorders>
              <w:top w:val="single" w:sz="4" w:space="0" w:color="3F6294"/>
              <w:left w:val="single" w:sz="4" w:space="0" w:color="auto"/>
              <w:bottom w:val="nil"/>
            </w:tcBorders>
          </w:tcPr>
          <w:p w14:paraId="25A5D1E9" w14:textId="77777777" w:rsidR="00BA02AE" w:rsidRDefault="00A04E31" w:rsidP="00A04E31">
            <w:pPr>
              <w:pStyle w:val="TableColumnHeadingLeft"/>
            </w:pPr>
            <w:r>
              <w:t>Not</w:t>
            </w:r>
            <w:r>
              <w:noBreakHyphen/>
              <w:t>for</w:t>
            </w:r>
            <w:r>
              <w:noBreakHyphen/>
              <w:t>profit sector tax issues</w:t>
            </w:r>
          </w:p>
        </w:tc>
      </w:tr>
      <w:tr w:rsidR="00A04E31" w14:paraId="423C17E4" w14:textId="77777777" w:rsidTr="005D5342">
        <w:tc>
          <w:tcPr>
            <w:tcW w:w="4248" w:type="dxa"/>
            <w:tcBorders>
              <w:top w:val="nil"/>
              <w:bottom w:val="single" w:sz="4" w:space="0" w:color="3F6294"/>
              <w:right w:val="single" w:sz="4" w:space="0" w:color="auto"/>
            </w:tcBorders>
            <w:shd w:val="clear" w:color="auto" w:fill="auto"/>
          </w:tcPr>
          <w:p w14:paraId="78C8597B" w14:textId="77777777" w:rsidR="00A04E31" w:rsidRDefault="00A04E31" w:rsidP="00A04E31">
            <w:pPr>
              <w:pStyle w:val="TableTextLeft"/>
            </w:pPr>
            <w:r>
              <w:t>Ann</w:t>
            </w:r>
            <w:r>
              <w:noBreakHyphen/>
              <w:t>Maree Wolff</w:t>
            </w:r>
            <w:r w:rsidRPr="00571386">
              <w:t xml:space="preserve"> (Chair)</w:t>
            </w:r>
            <w:r w:rsidRPr="00571386">
              <w:br/>
              <w:t>M</w:t>
            </w:r>
            <w:r>
              <w:t>ichael Andrew AO</w:t>
            </w:r>
            <w:r w:rsidRPr="00571386">
              <w:br/>
            </w:r>
            <w:r>
              <w:t>Neville Mitchell</w:t>
            </w:r>
            <w:r w:rsidRPr="00571386">
              <w:br/>
            </w:r>
            <w:r>
              <w:t>Karen Payne</w:t>
            </w:r>
          </w:p>
        </w:tc>
        <w:tc>
          <w:tcPr>
            <w:tcW w:w="4249" w:type="dxa"/>
            <w:tcBorders>
              <w:top w:val="nil"/>
              <w:left w:val="single" w:sz="4" w:space="0" w:color="auto"/>
              <w:bottom w:val="single" w:sz="4" w:space="0" w:color="3F6294"/>
            </w:tcBorders>
            <w:shd w:val="clear" w:color="auto" w:fill="auto"/>
          </w:tcPr>
          <w:p w14:paraId="391DAB29" w14:textId="0942D6A3" w:rsidR="00A04E31" w:rsidRDefault="00B93034" w:rsidP="00A04E31">
            <w:pPr>
              <w:pStyle w:val="TableTextLeft"/>
            </w:pPr>
            <w:r>
              <w:t xml:space="preserve">Dr </w:t>
            </w:r>
            <w:r w:rsidR="00A04E31">
              <w:t xml:space="preserve">Julianne </w:t>
            </w:r>
            <w:proofErr w:type="spellStart"/>
            <w:r w:rsidR="00A04E31">
              <w:t>Jaques</w:t>
            </w:r>
            <w:proofErr w:type="spellEnd"/>
            <w:r w:rsidR="00A04E31">
              <w:t xml:space="preserve"> (Chair)</w:t>
            </w:r>
            <w:r w:rsidR="00A04E31" w:rsidRPr="00571386">
              <w:t xml:space="preserve"> </w:t>
            </w:r>
            <w:r w:rsidR="00A04E31" w:rsidRPr="00571386">
              <w:br/>
              <w:t>M</w:t>
            </w:r>
            <w:r w:rsidR="00A04E31">
              <w:t>ichael Andrew AO</w:t>
            </w:r>
          </w:p>
        </w:tc>
      </w:tr>
    </w:tbl>
    <w:p w14:paraId="166D510F" w14:textId="77777777" w:rsidR="00BA02AE" w:rsidRDefault="00BA02AE" w:rsidP="00BA02AE"/>
    <w:tbl>
      <w:tblPr>
        <w:tblStyle w:val="TableGrid"/>
        <w:tblW w:w="0" w:type="auto"/>
        <w:tblLook w:val="04A0" w:firstRow="1" w:lastRow="0" w:firstColumn="1" w:lastColumn="0" w:noHBand="0" w:noVBand="1"/>
      </w:tblPr>
      <w:tblGrid>
        <w:gridCol w:w="4248"/>
        <w:gridCol w:w="4249"/>
      </w:tblGrid>
      <w:tr w:rsidR="00EB18B1" w14:paraId="13DD9A8E" w14:textId="77777777" w:rsidTr="005D5342">
        <w:trPr>
          <w:cnfStyle w:val="100000000000" w:firstRow="1" w:lastRow="0" w:firstColumn="0" w:lastColumn="0" w:oddVBand="0" w:evenVBand="0" w:oddHBand="0" w:evenHBand="0" w:firstRowFirstColumn="0" w:firstRowLastColumn="0" w:lastRowFirstColumn="0" w:lastRowLastColumn="0"/>
        </w:trPr>
        <w:tc>
          <w:tcPr>
            <w:tcW w:w="4248" w:type="dxa"/>
            <w:tcBorders>
              <w:bottom w:val="nil"/>
              <w:right w:val="single" w:sz="4" w:space="0" w:color="auto"/>
            </w:tcBorders>
          </w:tcPr>
          <w:p w14:paraId="7ACB6E02" w14:textId="77777777" w:rsidR="00EB18B1" w:rsidRDefault="007F12F5" w:rsidP="00D76266">
            <w:pPr>
              <w:pStyle w:val="TableColumnHeadingLeft"/>
            </w:pPr>
            <w:r>
              <w:t>Tax system improvement (Sounding Board)</w:t>
            </w:r>
          </w:p>
        </w:tc>
        <w:tc>
          <w:tcPr>
            <w:tcW w:w="4249" w:type="dxa"/>
            <w:tcBorders>
              <w:top w:val="single" w:sz="4" w:space="0" w:color="3F6294"/>
              <w:left w:val="single" w:sz="4" w:space="0" w:color="auto"/>
              <w:bottom w:val="nil"/>
            </w:tcBorders>
          </w:tcPr>
          <w:p w14:paraId="69484074" w14:textId="77777777" w:rsidR="00EB18B1" w:rsidRDefault="00070788" w:rsidP="00CA3572">
            <w:pPr>
              <w:pStyle w:val="TableColumnHeadingLeft"/>
            </w:pPr>
            <w:r>
              <w:t>Regulator performance framework</w:t>
            </w:r>
            <w:r w:rsidR="00186A34">
              <w:t xml:space="preserve"> </w:t>
            </w:r>
            <w:r w:rsidR="00CA3572">
              <w:t>(MAC)</w:t>
            </w:r>
          </w:p>
        </w:tc>
      </w:tr>
      <w:tr w:rsidR="00EB18B1" w14:paraId="77DD923A" w14:textId="77777777" w:rsidTr="005D5342">
        <w:tc>
          <w:tcPr>
            <w:tcW w:w="4248" w:type="dxa"/>
            <w:tcBorders>
              <w:top w:val="nil"/>
              <w:bottom w:val="single" w:sz="4" w:space="0" w:color="3F6294"/>
              <w:right w:val="single" w:sz="4" w:space="0" w:color="auto"/>
            </w:tcBorders>
            <w:shd w:val="clear" w:color="auto" w:fill="auto"/>
          </w:tcPr>
          <w:p w14:paraId="377EE917" w14:textId="77777777" w:rsidR="00EB18B1" w:rsidRDefault="007F12F5" w:rsidP="00D76266">
            <w:pPr>
              <w:pStyle w:val="TableTextLeft"/>
            </w:pPr>
            <w:r>
              <w:t xml:space="preserve">Karen Payne (Chair) </w:t>
            </w:r>
            <w:r w:rsidRPr="00571386">
              <w:br/>
            </w:r>
            <w:r>
              <w:t xml:space="preserve">Craig </w:t>
            </w:r>
            <w:proofErr w:type="spellStart"/>
            <w:r>
              <w:t>Yaxley</w:t>
            </w:r>
            <w:proofErr w:type="spellEnd"/>
            <w:r w:rsidRPr="00571386">
              <w:br/>
            </w:r>
            <w:r>
              <w:t>Neville Mitchell</w:t>
            </w:r>
            <w:r w:rsidRPr="00571386">
              <w:br/>
            </w:r>
            <w:r>
              <w:t>Peter Quiggin PSM</w:t>
            </w:r>
          </w:p>
        </w:tc>
        <w:tc>
          <w:tcPr>
            <w:tcW w:w="4249" w:type="dxa"/>
            <w:tcBorders>
              <w:top w:val="nil"/>
              <w:left w:val="single" w:sz="4" w:space="0" w:color="auto"/>
              <w:bottom w:val="single" w:sz="4" w:space="0" w:color="3F6294"/>
            </w:tcBorders>
            <w:shd w:val="clear" w:color="auto" w:fill="auto"/>
          </w:tcPr>
          <w:p w14:paraId="1AC0F757" w14:textId="77777777" w:rsidR="00EB18B1" w:rsidRDefault="00186A34" w:rsidP="00D76266">
            <w:pPr>
              <w:pStyle w:val="TableTextLeft"/>
            </w:pPr>
            <w:r>
              <w:t>Neville Mitchell (Chair)</w:t>
            </w:r>
            <w:r w:rsidRPr="00571386">
              <w:t xml:space="preserve"> </w:t>
            </w:r>
            <w:r w:rsidRPr="00571386">
              <w:br/>
            </w:r>
            <w:r>
              <w:t xml:space="preserve">Craig </w:t>
            </w:r>
            <w:proofErr w:type="spellStart"/>
            <w:r>
              <w:t>Yaxley</w:t>
            </w:r>
            <w:proofErr w:type="spellEnd"/>
          </w:p>
        </w:tc>
      </w:tr>
    </w:tbl>
    <w:p w14:paraId="0A3FC22B" w14:textId="77777777" w:rsidR="00BA02AE" w:rsidRDefault="00BA02AE" w:rsidP="00BA02AE"/>
    <w:tbl>
      <w:tblPr>
        <w:tblStyle w:val="TableGrid"/>
        <w:tblW w:w="0" w:type="auto"/>
        <w:tblLook w:val="04A0" w:firstRow="1" w:lastRow="0" w:firstColumn="1" w:lastColumn="0" w:noHBand="0" w:noVBand="1"/>
      </w:tblPr>
      <w:tblGrid>
        <w:gridCol w:w="4248"/>
        <w:gridCol w:w="4249"/>
      </w:tblGrid>
      <w:tr w:rsidR="00A04E31" w14:paraId="27AC32A6" w14:textId="77777777" w:rsidTr="00A04E31">
        <w:trPr>
          <w:cnfStyle w:val="100000000000" w:firstRow="1" w:lastRow="0" w:firstColumn="0" w:lastColumn="0" w:oddVBand="0" w:evenVBand="0" w:oddHBand="0" w:evenHBand="0" w:firstRowFirstColumn="0" w:firstRowLastColumn="0" w:lastRowFirstColumn="0" w:lastRowLastColumn="0"/>
        </w:trPr>
        <w:tc>
          <w:tcPr>
            <w:tcW w:w="8497" w:type="dxa"/>
            <w:gridSpan w:val="2"/>
            <w:tcBorders>
              <w:bottom w:val="nil"/>
            </w:tcBorders>
          </w:tcPr>
          <w:p w14:paraId="4B08B247" w14:textId="77777777" w:rsidR="00A04E31" w:rsidRDefault="00A04E31" w:rsidP="00A04E31">
            <w:pPr>
              <w:pStyle w:val="TableColumnHeadingLeft"/>
              <w:jc w:val="center"/>
            </w:pPr>
            <w:r>
              <w:t>Watching briefs</w:t>
            </w:r>
          </w:p>
        </w:tc>
      </w:tr>
      <w:tr w:rsidR="00186A34" w14:paraId="42D89F92" w14:textId="77777777" w:rsidTr="005D5342">
        <w:tc>
          <w:tcPr>
            <w:tcW w:w="4248" w:type="dxa"/>
            <w:tcBorders>
              <w:top w:val="nil"/>
              <w:bottom w:val="nil"/>
              <w:right w:val="single" w:sz="4" w:space="0" w:color="auto"/>
            </w:tcBorders>
            <w:shd w:val="clear" w:color="auto" w:fill="365F91" w:themeFill="accent1" w:themeFillShade="BF"/>
          </w:tcPr>
          <w:p w14:paraId="141FD084" w14:textId="77777777" w:rsidR="00186A34" w:rsidRDefault="007F12F5" w:rsidP="00A04E31">
            <w:pPr>
              <w:pStyle w:val="TableColumnHeadingLeft"/>
            </w:pPr>
            <w:r>
              <w:t>Alignment of tax and accounting</w:t>
            </w:r>
          </w:p>
        </w:tc>
        <w:tc>
          <w:tcPr>
            <w:tcW w:w="4249" w:type="dxa"/>
            <w:tcBorders>
              <w:top w:val="nil"/>
              <w:left w:val="single" w:sz="4" w:space="0" w:color="auto"/>
              <w:bottom w:val="nil"/>
            </w:tcBorders>
            <w:shd w:val="clear" w:color="auto" w:fill="365F91" w:themeFill="accent1" w:themeFillShade="BF"/>
          </w:tcPr>
          <w:p w14:paraId="238F1300" w14:textId="77777777" w:rsidR="00186A34" w:rsidRDefault="00A04E31" w:rsidP="00A04E31">
            <w:pPr>
              <w:pStyle w:val="TableColumnHeadingLeft"/>
            </w:pPr>
            <w:r>
              <w:t>International developments digital tax</w:t>
            </w:r>
          </w:p>
        </w:tc>
      </w:tr>
      <w:tr w:rsidR="00186A34" w14:paraId="47EADDC5" w14:textId="77777777" w:rsidTr="005D5342">
        <w:tc>
          <w:tcPr>
            <w:tcW w:w="4248" w:type="dxa"/>
            <w:tcBorders>
              <w:top w:val="nil"/>
              <w:bottom w:val="single" w:sz="4" w:space="0" w:color="3F6294"/>
              <w:right w:val="single" w:sz="4" w:space="0" w:color="auto"/>
            </w:tcBorders>
            <w:shd w:val="clear" w:color="auto" w:fill="auto"/>
          </w:tcPr>
          <w:p w14:paraId="0B6E8334" w14:textId="77777777" w:rsidR="00186A34" w:rsidRDefault="007F12F5" w:rsidP="00CA3572">
            <w:pPr>
              <w:pStyle w:val="TableTextLeft"/>
            </w:pPr>
            <w:r>
              <w:t xml:space="preserve">Craig </w:t>
            </w:r>
            <w:proofErr w:type="spellStart"/>
            <w:r>
              <w:t>Yaxley</w:t>
            </w:r>
            <w:proofErr w:type="spellEnd"/>
            <w:r>
              <w:t xml:space="preserve"> (Chair)</w:t>
            </w:r>
            <w:r w:rsidRPr="00571386">
              <w:t xml:space="preserve"> </w:t>
            </w:r>
            <w:r w:rsidRPr="00571386">
              <w:br/>
            </w:r>
            <w:r>
              <w:t>Ann</w:t>
            </w:r>
            <w:r>
              <w:noBreakHyphen/>
              <w:t>Maree Wolff</w:t>
            </w:r>
          </w:p>
        </w:tc>
        <w:tc>
          <w:tcPr>
            <w:tcW w:w="4249" w:type="dxa"/>
            <w:tcBorders>
              <w:top w:val="nil"/>
              <w:left w:val="single" w:sz="4" w:space="0" w:color="auto"/>
              <w:bottom w:val="single" w:sz="4" w:space="0" w:color="3F6294"/>
            </w:tcBorders>
            <w:shd w:val="clear" w:color="auto" w:fill="auto"/>
          </w:tcPr>
          <w:p w14:paraId="29AC093B" w14:textId="093E7942" w:rsidR="00186A34" w:rsidRDefault="00173BA4" w:rsidP="00173BA4">
            <w:pPr>
              <w:pStyle w:val="TableTextLeft"/>
            </w:pPr>
            <w:r>
              <w:t>Ann Maree Wolff</w:t>
            </w:r>
            <w:r>
              <w:br/>
            </w:r>
            <w:r w:rsidR="00C31A58">
              <w:t xml:space="preserve">Craig </w:t>
            </w:r>
            <w:proofErr w:type="spellStart"/>
            <w:r w:rsidR="00C31A58">
              <w:t>Yaxley</w:t>
            </w:r>
            <w:proofErr w:type="spellEnd"/>
          </w:p>
        </w:tc>
      </w:tr>
    </w:tbl>
    <w:p w14:paraId="184AB765" w14:textId="77777777" w:rsidR="00186A34" w:rsidRPr="00BA02AE" w:rsidRDefault="00186A34" w:rsidP="00BA02AE"/>
    <w:p w14:paraId="056A5598" w14:textId="77777777" w:rsidR="000B0255" w:rsidRPr="00026E13" w:rsidRDefault="000B0255" w:rsidP="000B0255">
      <w:pPr>
        <w:pStyle w:val="NormalWeb"/>
        <w:rPr>
          <w:rFonts w:ascii="Arial" w:hAnsi="Arial"/>
          <w:b/>
          <w:color w:val="000080"/>
          <w:sz w:val="22"/>
          <w:szCs w:val="22"/>
        </w:rPr>
      </w:pPr>
      <w:r w:rsidRPr="00026E13">
        <w:rPr>
          <w:rFonts w:ascii="Arial" w:hAnsi="Arial"/>
          <w:b/>
          <w:color w:val="000080"/>
          <w:sz w:val="22"/>
          <w:szCs w:val="22"/>
        </w:rPr>
        <w:t>Table 4: Secondments from the private sector, 201</w:t>
      </w:r>
      <w:r w:rsidR="00AD6594">
        <w:rPr>
          <w:rFonts w:ascii="Arial" w:hAnsi="Arial"/>
          <w:b/>
          <w:color w:val="000080"/>
          <w:sz w:val="22"/>
          <w:szCs w:val="22"/>
        </w:rPr>
        <w:t>8</w:t>
      </w:r>
      <w:r w:rsidRPr="00026E13">
        <w:rPr>
          <w:rFonts w:ascii="Arial" w:hAnsi="Arial"/>
          <w:b/>
          <w:color w:val="000080"/>
          <w:sz w:val="22"/>
          <w:szCs w:val="22"/>
        </w:rPr>
        <w:t>-1</w:t>
      </w:r>
      <w:r w:rsidR="00AD6594">
        <w:rPr>
          <w:rFonts w:ascii="Arial" w:hAnsi="Arial"/>
          <w:b/>
          <w:color w:val="000080"/>
          <w:sz w:val="22"/>
          <w:szCs w:val="22"/>
        </w:rPr>
        <w:t>9</w:t>
      </w:r>
      <w:r w:rsidRPr="00026E13">
        <w:rPr>
          <w:rFonts w:ascii="Arial" w:hAnsi="Arial"/>
          <w:b/>
          <w:color w:val="000080"/>
          <w:sz w:val="22"/>
          <w:szCs w:val="22"/>
        </w:rPr>
        <w:t xml:space="preserve"> </w:t>
      </w:r>
    </w:p>
    <w:tbl>
      <w:tblPr>
        <w:tblStyle w:val="TableGrid"/>
        <w:tblW w:w="0" w:type="auto"/>
        <w:tblBorders>
          <w:insideH w:val="single" w:sz="4" w:space="0" w:color="3F6294"/>
          <w:insideV w:val="single" w:sz="4" w:space="0" w:color="3F6294"/>
        </w:tblBorders>
        <w:tblLook w:val="04A0" w:firstRow="1" w:lastRow="0" w:firstColumn="1" w:lastColumn="0" w:noHBand="0" w:noVBand="1"/>
      </w:tblPr>
      <w:tblGrid>
        <w:gridCol w:w="8497"/>
      </w:tblGrid>
      <w:tr w:rsidR="000B0255" w:rsidRPr="00026E13" w14:paraId="648A6E2F" w14:textId="77777777" w:rsidTr="00AD6594">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auto"/>
          </w:tcPr>
          <w:p w14:paraId="5B6248A9" w14:textId="77777777" w:rsidR="000B0255" w:rsidRPr="00026E13" w:rsidRDefault="000B0255" w:rsidP="00D76266">
            <w:pPr>
              <w:rPr>
                <w:rFonts w:ascii="Arial" w:hAnsi="Arial" w:cs="Arial"/>
                <w:sz w:val="18"/>
                <w:szCs w:val="18"/>
              </w:rPr>
            </w:pPr>
            <w:r w:rsidRPr="00026E13">
              <w:rPr>
                <w:rFonts w:ascii="Arial" w:hAnsi="Arial" w:cs="Arial"/>
                <w:sz w:val="18"/>
                <w:szCs w:val="18"/>
              </w:rPr>
              <w:t xml:space="preserve">PwC – Patricia Muscat, Director, Sydney </w:t>
            </w:r>
          </w:p>
        </w:tc>
      </w:tr>
    </w:tbl>
    <w:p w14:paraId="2DB1E568" w14:textId="77777777" w:rsidR="000B0255" w:rsidRDefault="000B0255" w:rsidP="000B0255"/>
    <w:p w14:paraId="1CBA8294" w14:textId="77777777" w:rsidR="00165509" w:rsidRDefault="00165509" w:rsidP="00165509">
      <w:pPr>
        <w:pStyle w:val="Heading1"/>
      </w:pPr>
      <w:bookmarkStart w:id="25" w:name="_Toc27652709"/>
      <w:r>
        <w:lastRenderedPageBreak/>
        <w:t xml:space="preserve">Appendix </w:t>
      </w:r>
      <w:r w:rsidR="008954B8">
        <w:t>D</w:t>
      </w:r>
      <w:r>
        <w:t>: Attendance at events, conferences, workshops and discussion groups</w:t>
      </w:r>
      <w:bookmarkEnd w:id="25"/>
    </w:p>
    <w:p w14:paraId="3A30194B" w14:textId="77777777" w:rsidR="00E61DB1" w:rsidRDefault="00E61DB1" w:rsidP="00165509">
      <w:r w:rsidRPr="00E61DB1">
        <w:t>In addition to the events hosted by the Board when it regularly meets, Board members also attended events, conference and discussions hosted by the organisations below.</w:t>
      </w:r>
    </w:p>
    <w:p w14:paraId="5FD1F565" w14:textId="77777777" w:rsidR="00E61DB1" w:rsidRDefault="00613C39" w:rsidP="00E61DB1">
      <w:pPr>
        <w:pStyle w:val="TableMainHeading"/>
      </w:pPr>
      <w:bookmarkStart w:id="26" w:name="_Toc27652717"/>
      <w:r>
        <w:t>Table 5</w:t>
      </w:r>
      <w:r w:rsidR="00E61DB1">
        <w:t>: External events attended by Board members</w:t>
      </w:r>
      <w:bookmarkEnd w:id="26"/>
    </w:p>
    <w:tbl>
      <w:tblPr>
        <w:tblStyle w:val="TableGrid"/>
        <w:tblW w:w="0" w:type="auto"/>
        <w:tblBorders>
          <w:top w:val="none" w:sz="0" w:space="0" w:color="auto"/>
          <w:left w:val="none" w:sz="0" w:space="0" w:color="auto"/>
          <w:right w:val="none" w:sz="0" w:space="0" w:color="auto"/>
          <w:insideH w:val="single" w:sz="4" w:space="0" w:color="3F6294"/>
        </w:tblBorders>
        <w:tblLook w:val="04A0" w:firstRow="1" w:lastRow="0" w:firstColumn="1" w:lastColumn="0" w:noHBand="0" w:noVBand="1"/>
      </w:tblPr>
      <w:tblGrid>
        <w:gridCol w:w="2835"/>
        <w:gridCol w:w="5662"/>
      </w:tblGrid>
      <w:tr w:rsidR="00E61DB1" w14:paraId="77A7E9D5" w14:textId="77777777" w:rsidTr="00DE3186">
        <w:trPr>
          <w:cnfStyle w:val="100000000000" w:firstRow="1" w:lastRow="0" w:firstColumn="0" w:lastColumn="0" w:oddVBand="0" w:evenVBand="0" w:oddHBand="0" w:evenHBand="0" w:firstRowFirstColumn="0" w:firstRowLastColumn="0" w:lastRowFirstColumn="0" w:lastRowLastColumn="0"/>
        </w:trPr>
        <w:tc>
          <w:tcPr>
            <w:tcW w:w="2835" w:type="dxa"/>
          </w:tcPr>
          <w:p w14:paraId="14C00E8B" w14:textId="77777777" w:rsidR="00E61DB1" w:rsidRDefault="00E61DB1" w:rsidP="00E61DB1">
            <w:pPr>
              <w:pStyle w:val="TableColumnHeadingLeft"/>
            </w:pPr>
          </w:p>
        </w:tc>
        <w:tc>
          <w:tcPr>
            <w:tcW w:w="5662" w:type="dxa"/>
          </w:tcPr>
          <w:p w14:paraId="26FA9EB9" w14:textId="77777777" w:rsidR="00E61DB1" w:rsidRDefault="00E61DB1" w:rsidP="00E61DB1">
            <w:pPr>
              <w:pStyle w:val="TableColumnHeadingLeft"/>
            </w:pPr>
          </w:p>
        </w:tc>
      </w:tr>
      <w:tr w:rsidR="00DE3186" w14:paraId="1E69BF9F" w14:textId="77777777" w:rsidTr="00DE3186">
        <w:tc>
          <w:tcPr>
            <w:tcW w:w="2835" w:type="dxa"/>
            <w:shd w:val="clear" w:color="auto" w:fill="auto"/>
          </w:tcPr>
          <w:p w14:paraId="7FC28D48" w14:textId="77777777" w:rsidR="00DE3186" w:rsidRDefault="00DE3186" w:rsidP="00DE3186">
            <w:pPr>
              <w:pStyle w:val="TableTextBase"/>
            </w:pPr>
            <w:r>
              <w:t>Asian Racing Federation</w:t>
            </w:r>
          </w:p>
        </w:tc>
        <w:tc>
          <w:tcPr>
            <w:tcW w:w="5662" w:type="dxa"/>
            <w:shd w:val="clear" w:color="auto" w:fill="auto"/>
          </w:tcPr>
          <w:p w14:paraId="65B2FB90" w14:textId="320D8463" w:rsidR="00DE3186" w:rsidRDefault="00DE3186" w:rsidP="00DE3186">
            <w:pPr>
              <w:pStyle w:val="TableTextBase"/>
            </w:pPr>
            <w:r w:rsidRPr="0040391D">
              <w:t>Asian Racing Federation’s ant</w:t>
            </w:r>
            <w:r w:rsidR="006D473D">
              <w:t>i</w:t>
            </w:r>
            <w:r w:rsidRPr="0040391D">
              <w:t xml:space="preserve">-illegal betting taskforce </w:t>
            </w:r>
          </w:p>
        </w:tc>
      </w:tr>
      <w:tr w:rsidR="00DE3186" w14:paraId="3948E2A3" w14:textId="77777777" w:rsidTr="00DE3186">
        <w:tc>
          <w:tcPr>
            <w:tcW w:w="2835" w:type="dxa"/>
            <w:shd w:val="clear" w:color="auto" w:fill="auto"/>
          </w:tcPr>
          <w:p w14:paraId="59E8F759" w14:textId="77777777" w:rsidR="00DE3186" w:rsidRDefault="00DE3186" w:rsidP="00DE3186">
            <w:pPr>
              <w:pStyle w:val="TableTextBase"/>
            </w:pPr>
            <w:r>
              <w:t>ATO</w:t>
            </w:r>
          </w:p>
        </w:tc>
        <w:tc>
          <w:tcPr>
            <w:tcW w:w="5662" w:type="dxa"/>
            <w:shd w:val="clear" w:color="auto" w:fill="auto"/>
          </w:tcPr>
          <w:p w14:paraId="59660133" w14:textId="77777777" w:rsidR="00DE3186" w:rsidRDefault="00DE3186" w:rsidP="00DE3186">
            <w:pPr>
              <w:pStyle w:val="TableTextBase"/>
            </w:pPr>
            <w:r w:rsidRPr="0040391D">
              <w:t>Presentation on the Black economy taskforce’ to ATO staff at the ATO Brisbane office</w:t>
            </w:r>
          </w:p>
        </w:tc>
      </w:tr>
      <w:tr w:rsidR="00DE3186" w14:paraId="565F581A" w14:textId="77777777" w:rsidTr="00DE3186">
        <w:tc>
          <w:tcPr>
            <w:tcW w:w="2835" w:type="dxa"/>
            <w:shd w:val="clear" w:color="auto" w:fill="auto"/>
          </w:tcPr>
          <w:p w14:paraId="3C2B4A47" w14:textId="77777777" w:rsidR="00DE3186" w:rsidRDefault="00DE3186" w:rsidP="00DE3186">
            <w:pPr>
              <w:pStyle w:val="TableTextBase"/>
            </w:pPr>
            <w:r w:rsidRPr="00A70A79">
              <w:t>Curtin University</w:t>
            </w:r>
          </w:p>
        </w:tc>
        <w:tc>
          <w:tcPr>
            <w:tcW w:w="5662" w:type="dxa"/>
            <w:shd w:val="clear" w:color="auto" w:fill="auto"/>
          </w:tcPr>
          <w:p w14:paraId="63CD4F12" w14:textId="77777777" w:rsidR="00DE3186" w:rsidRDefault="00DE3186" w:rsidP="00DE3186">
            <w:pPr>
              <w:pStyle w:val="TableTextBase"/>
            </w:pPr>
            <w:r w:rsidRPr="00A70A79">
              <w:t>2019 Australasian Tax Teachers' Association (ATTA) Conference</w:t>
            </w:r>
          </w:p>
        </w:tc>
      </w:tr>
      <w:tr w:rsidR="00DE3186" w14:paraId="78DFA368" w14:textId="77777777" w:rsidTr="00DE3186">
        <w:tc>
          <w:tcPr>
            <w:tcW w:w="2835" w:type="dxa"/>
            <w:shd w:val="clear" w:color="auto" w:fill="auto"/>
          </w:tcPr>
          <w:p w14:paraId="22C3D33C" w14:textId="77777777" w:rsidR="00DE3186" w:rsidRDefault="00DE3186" w:rsidP="00DE3186">
            <w:pPr>
              <w:pStyle w:val="TableTextBase"/>
            </w:pPr>
            <w:r>
              <w:t>Financial Services Council</w:t>
            </w:r>
          </w:p>
        </w:tc>
        <w:tc>
          <w:tcPr>
            <w:tcW w:w="5662" w:type="dxa"/>
            <w:shd w:val="clear" w:color="auto" w:fill="auto"/>
          </w:tcPr>
          <w:p w14:paraId="4D8B6CF4" w14:textId="77777777" w:rsidR="00DE3186" w:rsidRDefault="00DE3186" w:rsidP="00DE3186">
            <w:pPr>
              <w:pStyle w:val="TableTextBase"/>
            </w:pPr>
            <w:r w:rsidRPr="00C62F38">
              <w:t>FSC Tax Committee Meeting</w:t>
            </w:r>
          </w:p>
        </w:tc>
      </w:tr>
      <w:tr w:rsidR="00DE3186" w14:paraId="60C69B8F" w14:textId="77777777" w:rsidTr="00DE3186">
        <w:tc>
          <w:tcPr>
            <w:tcW w:w="2835" w:type="dxa"/>
            <w:shd w:val="clear" w:color="auto" w:fill="auto"/>
          </w:tcPr>
          <w:p w14:paraId="368CB3A9" w14:textId="77777777" w:rsidR="00DE3186" w:rsidRDefault="00DE3186" w:rsidP="00DE3186">
            <w:pPr>
              <w:pStyle w:val="TableTextBase"/>
            </w:pPr>
            <w:r w:rsidRPr="00CF73CD">
              <w:t>Institute of Public Accountants</w:t>
            </w:r>
          </w:p>
        </w:tc>
        <w:tc>
          <w:tcPr>
            <w:tcW w:w="5662" w:type="dxa"/>
            <w:shd w:val="clear" w:color="auto" w:fill="auto"/>
          </w:tcPr>
          <w:p w14:paraId="4ED51D01" w14:textId="77777777" w:rsidR="00DE3186" w:rsidRDefault="00CB3FDA" w:rsidP="00DE3186">
            <w:pPr>
              <w:pStyle w:val="TableTextBase"/>
            </w:pPr>
            <w:r>
              <w:t>2019 Tasmania Congress</w:t>
            </w:r>
          </w:p>
        </w:tc>
      </w:tr>
      <w:tr w:rsidR="00DE3186" w14:paraId="03234B4C" w14:textId="77777777" w:rsidTr="00DE3186">
        <w:tc>
          <w:tcPr>
            <w:tcW w:w="2835" w:type="dxa"/>
            <w:shd w:val="clear" w:color="auto" w:fill="auto"/>
          </w:tcPr>
          <w:p w14:paraId="3E4AA1E1" w14:textId="77777777" w:rsidR="00DE3186" w:rsidRDefault="00DE3186" w:rsidP="00DE3186">
            <w:pPr>
              <w:pStyle w:val="TableTextBase"/>
            </w:pPr>
            <w:r>
              <w:t>Law Council of Australia</w:t>
            </w:r>
          </w:p>
        </w:tc>
        <w:tc>
          <w:tcPr>
            <w:tcW w:w="5662" w:type="dxa"/>
            <w:shd w:val="clear" w:color="auto" w:fill="auto"/>
          </w:tcPr>
          <w:p w14:paraId="503101EA" w14:textId="77777777" w:rsidR="00DE3186" w:rsidRDefault="00DE3186" w:rsidP="00DE3186">
            <w:pPr>
              <w:pStyle w:val="TableTextBase"/>
            </w:pPr>
            <w:r>
              <w:t>Taxation Workshop</w:t>
            </w:r>
          </w:p>
        </w:tc>
      </w:tr>
      <w:tr w:rsidR="00DE3186" w14:paraId="7190AB2A" w14:textId="77777777" w:rsidTr="00DE3186">
        <w:tc>
          <w:tcPr>
            <w:tcW w:w="2835" w:type="dxa"/>
            <w:shd w:val="clear" w:color="auto" w:fill="auto"/>
          </w:tcPr>
          <w:p w14:paraId="7C0C5B8D" w14:textId="77777777" w:rsidR="00DE3186" w:rsidRDefault="00DE3186" w:rsidP="00DE3186">
            <w:pPr>
              <w:pStyle w:val="TableTextBase"/>
            </w:pPr>
            <w:r>
              <w:t>Melbourne University</w:t>
            </w:r>
          </w:p>
        </w:tc>
        <w:tc>
          <w:tcPr>
            <w:tcW w:w="5662" w:type="dxa"/>
            <w:shd w:val="clear" w:color="auto" w:fill="auto"/>
          </w:tcPr>
          <w:p w14:paraId="0121323B" w14:textId="77777777" w:rsidR="00DE3186" w:rsidRDefault="00CB3FDA" w:rsidP="00CB3FDA">
            <w:pPr>
              <w:pStyle w:val="TableTextBase"/>
            </w:pPr>
            <w:r>
              <w:t>Tax in practice crafting the law</w:t>
            </w:r>
          </w:p>
        </w:tc>
      </w:tr>
      <w:tr w:rsidR="00DE3186" w14:paraId="785BBDDF" w14:textId="77777777" w:rsidTr="00DE3186">
        <w:tc>
          <w:tcPr>
            <w:tcW w:w="2835" w:type="dxa"/>
            <w:shd w:val="clear" w:color="auto" w:fill="auto"/>
          </w:tcPr>
          <w:p w14:paraId="56037121" w14:textId="77777777" w:rsidR="00DE3186" w:rsidRDefault="00DE3186" w:rsidP="00DE3186">
            <w:pPr>
              <w:pStyle w:val="TableTextBase"/>
            </w:pPr>
            <w:r>
              <w:t>Melbourne University</w:t>
            </w:r>
          </w:p>
        </w:tc>
        <w:tc>
          <w:tcPr>
            <w:tcW w:w="5662" w:type="dxa"/>
            <w:shd w:val="clear" w:color="auto" w:fill="auto"/>
          </w:tcPr>
          <w:p w14:paraId="5D17E291" w14:textId="77777777" w:rsidR="00DE3186" w:rsidRDefault="00DE3186" w:rsidP="00DE3186">
            <w:pPr>
              <w:pStyle w:val="TableTextBase"/>
            </w:pPr>
            <w:r w:rsidRPr="00DE3186">
              <w:t>Black Economy and Law Reform</w:t>
            </w:r>
          </w:p>
        </w:tc>
      </w:tr>
      <w:tr w:rsidR="00DE3186" w14:paraId="7B39DDB0" w14:textId="77777777" w:rsidTr="00DE3186">
        <w:tc>
          <w:tcPr>
            <w:tcW w:w="2835" w:type="dxa"/>
            <w:shd w:val="clear" w:color="auto" w:fill="auto"/>
          </w:tcPr>
          <w:p w14:paraId="7290151C" w14:textId="77777777" w:rsidR="00DE3186" w:rsidRDefault="00DE3186" w:rsidP="00DE3186">
            <w:pPr>
              <w:pStyle w:val="TableTextBase"/>
            </w:pPr>
            <w:r>
              <w:t>Minerals Council of Australia</w:t>
            </w:r>
          </w:p>
        </w:tc>
        <w:tc>
          <w:tcPr>
            <w:tcW w:w="5662" w:type="dxa"/>
            <w:shd w:val="clear" w:color="auto" w:fill="auto"/>
          </w:tcPr>
          <w:p w14:paraId="1C86D22E" w14:textId="77777777" w:rsidR="00DE3186" w:rsidRDefault="00DE3186" w:rsidP="00DE3186">
            <w:pPr>
              <w:pStyle w:val="TableTextBase"/>
            </w:pPr>
            <w:r w:rsidRPr="000F0AD3">
              <w:t xml:space="preserve">Minerals Council of Australia – Tax Conference 2019 </w:t>
            </w:r>
            <w:r w:rsidRPr="000F0AD3">
              <w:noBreakHyphen/>
              <w:t xml:space="preserve"> Tax Transparency - 19-20 March 2019</w:t>
            </w:r>
          </w:p>
        </w:tc>
      </w:tr>
      <w:tr w:rsidR="00DE3186" w14:paraId="5EB71A30" w14:textId="77777777" w:rsidTr="00DE3186">
        <w:tc>
          <w:tcPr>
            <w:tcW w:w="2835" w:type="dxa"/>
            <w:shd w:val="clear" w:color="auto" w:fill="auto"/>
          </w:tcPr>
          <w:p w14:paraId="75FAA4DE" w14:textId="77777777" w:rsidR="00DE3186" w:rsidRDefault="00DE3186" w:rsidP="00DE3186">
            <w:pPr>
              <w:pStyle w:val="TableTextBase"/>
            </w:pPr>
            <w:r>
              <w:t>Monash University Business School</w:t>
            </w:r>
          </w:p>
        </w:tc>
        <w:tc>
          <w:tcPr>
            <w:tcW w:w="5662" w:type="dxa"/>
            <w:shd w:val="clear" w:color="auto" w:fill="auto"/>
          </w:tcPr>
          <w:p w14:paraId="2B93C346" w14:textId="77777777" w:rsidR="00DE3186" w:rsidRDefault="00DE3186" w:rsidP="00DE3186">
            <w:pPr>
              <w:pStyle w:val="TableTextBase"/>
            </w:pPr>
            <w:r w:rsidRPr="000F0AD3">
              <w:t xml:space="preserve">Leaders Panel </w:t>
            </w:r>
            <w:r>
              <w:t>–</w:t>
            </w:r>
            <w:r w:rsidRPr="000F0AD3">
              <w:t xml:space="preserve"> Future of Australia</w:t>
            </w:r>
            <w:r>
              <w:t>’</w:t>
            </w:r>
            <w:r w:rsidRPr="000F0AD3">
              <w:t>s Tax system</w:t>
            </w:r>
          </w:p>
        </w:tc>
      </w:tr>
      <w:tr w:rsidR="00DE3186" w14:paraId="36E2149B" w14:textId="77777777" w:rsidTr="00DE3186">
        <w:tc>
          <w:tcPr>
            <w:tcW w:w="2835" w:type="dxa"/>
            <w:shd w:val="clear" w:color="auto" w:fill="auto"/>
          </w:tcPr>
          <w:p w14:paraId="31748166" w14:textId="77777777" w:rsidR="00DE3186" w:rsidRDefault="00DE3186" w:rsidP="00DE3186">
            <w:pPr>
              <w:pStyle w:val="TableTextBase"/>
            </w:pPr>
            <w:r>
              <w:t>OECD</w:t>
            </w:r>
          </w:p>
        </w:tc>
        <w:tc>
          <w:tcPr>
            <w:tcW w:w="5662" w:type="dxa"/>
            <w:shd w:val="clear" w:color="auto" w:fill="auto"/>
          </w:tcPr>
          <w:p w14:paraId="5D94F75A" w14:textId="77777777" w:rsidR="00DE3186" w:rsidRDefault="00DE3186" w:rsidP="00DE3186">
            <w:pPr>
              <w:pStyle w:val="TableTextBase"/>
            </w:pPr>
            <w:r>
              <w:t>Shadow Economy Advisory Working Group</w:t>
            </w:r>
          </w:p>
        </w:tc>
      </w:tr>
      <w:tr w:rsidR="002C0A30" w14:paraId="1719307B" w14:textId="77777777" w:rsidTr="00DE3186">
        <w:tc>
          <w:tcPr>
            <w:tcW w:w="2835" w:type="dxa"/>
            <w:shd w:val="clear" w:color="auto" w:fill="auto"/>
          </w:tcPr>
          <w:p w14:paraId="0D1FDEC0" w14:textId="648662DA" w:rsidR="002C0A30" w:rsidRDefault="002C0A30" w:rsidP="00DE3186">
            <w:pPr>
              <w:pStyle w:val="TableTextBase"/>
            </w:pPr>
            <w:r>
              <w:t>Tax Talk</w:t>
            </w:r>
          </w:p>
        </w:tc>
        <w:tc>
          <w:tcPr>
            <w:tcW w:w="5662" w:type="dxa"/>
            <w:shd w:val="clear" w:color="auto" w:fill="auto"/>
          </w:tcPr>
          <w:p w14:paraId="1AB11902" w14:textId="7FFF249E" w:rsidR="002C0A30" w:rsidRDefault="002C0A30" w:rsidP="00DE3186">
            <w:pPr>
              <w:pStyle w:val="TableTextBase"/>
            </w:pPr>
            <w:r>
              <w:t>Podcast review of small business tax concessions</w:t>
            </w:r>
          </w:p>
        </w:tc>
      </w:tr>
      <w:tr w:rsidR="002C0A30" w14:paraId="708F00B5" w14:textId="77777777" w:rsidTr="00DE3186">
        <w:tc>
          <w:tcPr>
            <w:tcW w:w="2835" w:type="dxa"/>
            <w:shd w:val="clear" w:color="auto" w:fill="auto"/>
          </w:tcPr>
          <w:p w14:paraId="40ED379A" w14:textId="5B4ECE15" w:rsidR="002C0A30" w:rsidRPr="000F0AD3" w:rsidRDefault="002C0A30" w:rsidP="00DE3186">
            <w:pPr>
              <w:pStyle w:val="TableTextBase"/>
            </w:pPr>
            <w:r>
              <w:t>Tax Talk</w:t>
            </w:r>
          </w:p>
        </w:tc>
        <w:tc>
          <w:tcPr>
            <w:tcW w:w="5662" w:type="dxa"/>
            <w:shd w:val="clear" w:color="auto" w:fill="auto"/>
          </w:tcPr>
          <w:p w14:paraId="677AE423" w14:textId="1B23C09A" w:rsidR="002C0A30" w:rsidRPr="000F0AD3" w:rsidRDefault="002C0A30" w:rsidP="00DE3186">
            <w:pPr>
              <w:pStyle w:val="TableTextBase"/>
            </w:pPr>
            <w:r>
              <w:t>Podcast Board of Taxation</w:t>
            </w:r>
          </w:p>
        </w:tc>
      </w:tr>
      <w:tr w:rsidR="00DE3186" w14:paraId="6D6E7396" w14:textId="77777777" w:rsidTr="00DE3186">
        <w:tc>
          <w:tcPr>
            <w:tcW w:w="2835" w:type="dxa"/>
            <w:shd w:val="clear" w:color="auto" w:fill="auto"/>
          </w:tcPr>
          <w:p w14:paraId="1A3D6124" w14:textId="77777777" w:rsidR="00DE3186" w:rsidRDefault="00DE3186" w:rsidP="00DE3186">
            <w:pPr>
              <w:pStyle w:val="TableTextBase"/>
            </w:pPr>
            <w:r w:rsidRPr="000F0AD3">
              <w:t>Tax and Super Australia</w:t>
            </w:r>
          </w:p>
        </w:tc>
        <w:tc>
          <w:tcPr>
            <w:tcW w:w="5662" w:type="dxa"/>
            <w:shd w:val="clear" w:color="auto" w:fill="auto"/>
          </w:tcPr>
          <w:p w14:paraId="3FC46BF5" w14:textId="77777777" w:rsidR="00DE3186" w:rsidRDefault="00DE3186" w:rsidP="00DE3186">
            <w:pPr>
              <w:pStyle w:val="TableTextBase"/>
            </w:pPr>
            <w:r w:rsidRPr="000F0AD3">
              <w:t>Residency and Migration Seminar</w:t>
            </w:r>
          </w:p>
        </w:tc>
      </w:tr>
      <w:tr w:rsidR="00DE3186" w14:paraId="34A5D4F5" w14:textId="77777777" w:rsidTr="00DE3186">
        <w:tc>
          <w:tcPr>
            <w:tcW w:w="2835" w:type="dxa"/>
            <w:shd w:val="clear" w:color="auto" w:fill="auto"/>
          </w:tcPr>
          <w:p w14:paraId="41553CAD" w14:textId="77777777" w:rsidR="00DE3186" w:rsidRDefault="00DE3186" w:rsidP="00DE3186">
            <w:pPr>
              <w:pStyle w:val="TableTextBase"/>
            </w:pPr>
            <w:r>
              <w:t>Tax Institute of Australia</w:t>
            </w:r>
          </w:p>
        </w:tc>
        <w:tc>
          <w:tcPr>
            <w:tcW w:w="5662" w:type="dxa"/>
            <w:shd w:val="clear" w:color="auto" w:fill="auto"/>
          </w:tcPr>
          <w:p w14:paraId="7E0583FF" w14:textId="77777777" w:rsidR="00DE3186" w:rsidRDefault="00DE3186" w:rsidP="00CB3FDA">
            <w:pPr>
              <w:pStyle w:val="TableTextBase"/>
            </w:pPr>
            <w:r w:rsidRPr="000F0AD3">
              <w:t>34</w:t>
            </w:r>
            <w:r w:rsidR="00CB3FDA" w:rsidRPr="00CB3FDA">
              <w:rPr>
                <w:vertAlign w:val="superscript"/>
              </w:rPr>
              <w:t>th</w:t>
            </w:r>
            <w:r w:rsidR="00CB3FDA">
              <w:t xml:space="preserve"> </w:t>
            </w:r>
            <w:r w:rsidRPr="000F0AD3">
              <w:t>National Convention</w:t>
            </w:r>
          </w:p>
        </w:tc>
      </w:tr>
      <w:tr w:rsidR="00DE3186" w14:paraId="384DCFD8" w14:textId="77777777" w:rsidTr="00DE3186">
        <w:tc>
          <w:tcPr>
            <w:tcW w:w="2835" w:type="dxa"/>
            <w:shd w:val="clear" w:color="auto" w:fill="auto"/>
          </w:tcPr>
          <w:p w14:paraId="58E796A4" w14:textId="77777777" w:rsidR="00DE3186" w:rsidRDefault="00DE3186" w:rsidP="00DE3186">
            <w:pPr>
              <w:pStyle w:val="TableTextBase"/>
            </w:pPr>
            <w:r>
              <w:t>Tax Institute of Australia</w:t>
            </w:r>
          </w:p>
        </w:tc>
        <w:tc>
          <w:tcPr>
            <w:tcW w:w="5662" w:type="dxa"/>
            <w:shd w:val="clear" w:color="auto" w:fill="auto"/>
          </w:tcPr>
          <w:p w14:paraId="478AF109" w14:textId="77777777" w:rsidR="00DE3186" w:rsidRDefault="00DE3186" w:rsidP="00DE3186">
            <w:pPr>
              <w:pStyle w:val="TableTextBase"/>
            </w:pPr>
            <w:r w:rsidRPr="00D23CDD">
              <w:t>2018 National Resources Tax Conference</w:t>
            </w:r>
          </w:p>
        </w:tc>
      </w:tr>
      <w:tr w:rsidR="00DE3186" w14:paraId="0975A6BB" w14:textId="77777777" w:rsidTr="00DE3186">
        <w:tc>
          <w:tcPr>
            <w:tcW w:w="2835" w:type="dxa"/>
            <w:shd w:val="clear" w:color="auto" w:fill="auto"/>
          </w:tcPr>
          <w:p w14:paraId="1C2B68B0" w14:textId="77777777" w:rsidR="00DE3186" w:rsidRDefault="00DE3186" w:rsidP="00DE3186">
            <w:pPr>
              <w:pStyle w:val="TableTextBase"/>
            </w:pPr>
            <w:r>
              <w:t>Tax Institute of Australia</w:t>
            </w:r>
          </w:p>
        </w:tc>
        <w:tc>
          <w:tcPr>
            <w:tcW w:w="5662" w:type="dxa"/>
            <w:shd w:val="clear" w:color="auto" w:fill="auto"/>
          </w:tcPr>
          <w:p w14:paraId="485BEBE6" w14:textId="77777777" w:rsidR="00DE3186" w:rsidRDefault="00DE3186" w:rsidP="00DE3186">
            <w:pPr>
              <w:pStyle w:val="TableTextBase"/>
            </w:pPr>
            <w:r w:rsidRPr="00C67CBC">
              <w:t>Board of Taxation roundtable</w:t>
            </w:r>
          </w:p>
        </w:tc>
      </w:tr>
      <w:tr w:rsidR="00DE3186" w14:paraId="6D132B6A" w14:textId="77777777" w:rsidTr="00DE3186">
        <w:tc>
          <w:tcPr>
            <w:tcW w:w="2835" w:type="dxa"/>
            <w:shd w:val="clear" w:color="auto" w:fill="auto"/>
          </w:tcPr>
          <w:p w14:paraId="018A150D" w14:textId="77777777" w:rsidR="00DE3186" w:rsidRDefault="00DE3186" w:rsidP="00DE3186">
            <w:pPr>
              <w:pStyle w:val="TableTextBase"/>
            </w:pPr>
            <w:r>
              <w:t>Tax Institute of Australia</w:t>
            </w:r>
          </w:p>
        </w:tc>
        <w:tc>
          <w:tcPr>
            <w:tcW w:w="5662" w:type="dxa"/>
            <w:shd w:val="clear" w:color="auto" w:fill="auto"/>
          </w:tcPr>
          <w:p w14:paraId="29564148" w14:textId="77777777" w:rsidR="00DE3186" w:rsidRDefault="00DE3186" w:rsidP="00DE3186">
            <w:pPr>
              <w:pStyle w:val="TableTextBase"/>
            </w:pPr>
            <w:r w:rsidRPr="00C62F38">
              <w:t>2018 Queensland Tax Forum - Seizing the opportunity</w:t>
            </w:r>
          </w:p>
        </w:tc>
      </w:tr>
      <w:tr w:rsidR="00DE3186" w14:paraId="71E16C55" w14:textId="77777777" w:rsidTr="00DE3186">
        <w:tc>
          <w:tcPr>
            <w:tcW w:w="2835" w:type="dxa"/>
            <w:shd w:val="clear" w:color="auto" w:fill="auto"/>
          </w:tcPr>
          <w:p w14:paraId="1375790F" w14:textId="77777777" w:rsidR="00DE3186" w:rsidRDefault="00DE3186" w:rsidP="00DE3186">
            <w:pPr>
              <w:pStyle w:val="TableTextBase"/>
            </w:pPr>
            <w:r w:rsidRPr="006A5B82">
              <w:t>University of NSW</w:t>
            </w:r>
            <w:r>
              <w:t xml:space="preserve"> and </w:t>
            </w:r>
            <w:proofErr w:type="spellStart"/>
            <w:r>
              <w:t>Atax</w:t>
            </w:r>
            <w:proofErr w:type="spellEnd"/>
          </w:p>
        </w:tc>
        <w:tc>
          <w:tcPr>
            <w:tcW w:w="5662" w:type="dxa"/>
            <w:shd w:val="clear" w:color="auto" w:fill="auto"/>
          </w:tcPr>
          <w:p w14:paraId="1CB1F3C4" w14:textId="77777777" w:rsidR="00DE3186" w:rsidRDefault="00DE3186" w:rsidP="00DE3186">
            <w:pPr>
              <w:pStyle w:val="TableTextBase"/>
            </w:pPr>
            <w:r w:rsidRPr="0064549A">
              <w:t>Australian GST 20</w:t>
            </w:r>
            <w:r w:rsidRPr="000F5257">
              <w:rPr>
                <w:vertAlign w:val="superscript"/>
              </w:rPr>
              <w:t>th</w:t>
            </w:r>
            <w:r>
              <w:t xml:space="preserve"> </w:t>
            </w:r>
            <w:r w:rsidRPr="0064549A">
              <w:t>Anniversary</w:t>
            </w:r>
            <w:r>
              <w:t xml:space="preserve"> Conference</w:t>
            </w:r>
          </w:p>
        </w:tc>
      </w:tr>
      <w:tr w:rsidR="00DE3186" w14:paraId="654ACE6E" w14:textId="77777777" w:rsidTr="00DE3186">
        <w:tc>
          <w:tcPr>
            <w:tcW w:w="2835" w:type="dxa"/>
            <w:shd w:val="clear" w:color="auto" w:fill="auto"/>
          </w:tcPr>
          <w:p w14:paraId="7005F9AE" w14:textId="77777777" w:rsidR="00DE3186" w:rsidRDefault="00DE3186" w:rsidP="00DE3186">
            <w:pPr>
              <w:pStyle w:val="TableTextBase"/>
            </w:pPr>
            <w:r>
              <w:t>Wolters Kluwer</w:t>
            </w:r>
          </w:p>
        </w:tc>
        <w:tc>
          <w:tcPr>
            <w:tcW w:w="5662" w:type="dxa"/>
            <w:shd w:val="clear" w:color="auto" w:fill="auto"/>
          </w:tcPr>
          <w:p w14:paraId="30486B58" w14:textId="77777777" w:rsidR="00DE3186" w:rsidRDefault="00DE3186" w:rsidP="00DE3186">
            <w:pPr>
              <w:pStyle w:val="TableTextBase"/>
            </w:pPr>
            <w:r w:rsidRPr="000F0AD3">
              <w:t>Webinar – Board of Taxation activities</w:t>
            </w:r>
          </w:p>
        </w:tc>
      </w:tr>
    </w:tbl>
    <w:p w14:paraId="01DE4C66" w14:textId="77777777" w:rsidR="00E61DB1" w:rsidRDefault="00CB3FDA" w:rsidP="00CB3FDA">
      <w:pPr>
        <w:pStyle w:val="Heading1"/>
      </w:pPr>
      <w:bookmarkStart w:id="27" w:name="_Toc27652710"/>
      <w:r>
        <w:lastRenderedPageBreak/>
        <w:t xml:space="preserve">Appendix </w:t>
      </w:r>
      <w:r w:rsidR="00D210C9">
        <w:t>E</w:t>
      </w:r>
      <w:r>
        <w:t>: attendance at board meetings</w:t>
      </w:r>
      <w:bookmarkEnd w:id="27"/>
    </w:p>
    <w:p w14:paraId="482590E3" w14:textId="77777777" w:rsidR="00CB3FDA" w:rsidRDefault="00CB3FDA" w:rsidP="00CB3FDA">
      <w:pPr>
        <w:pStyle w:val="TableMainHeading"/>
      </w:pPr>
      <w:bookmarkStart w:id="28" w:name="_Toc27652718"/>
      <w:r>
        <w:t xml:space="preserve">Table </w:t>
      </w:r>
      <w:r w:rsidR="00613C39">
        <w:t>6</w:t>
      </w:r>
      <w:r>
        <w:t>: Attendance at Board meetings, 2018</w:t>
      </w:r>
      <w:r>
        <w:noBreakHyphen/>
        <w:t>19</w:t>
      </w:r>
      <w:bookmarkEnd w:id="28"/>
    </w:p>
    <w:tbl>
      <w:tblPr>
        <w:tblStyle w:val="TableGrid"/>
        <w:tblW w:w="0" w:type="auto"/>
        <w:tblBorders>
          <w:left w:val="none" w:sz="0" w:space="0" w:color="auto"/>
          <w:right w:val="none" w:sz="0" w:space="0" w:color="auto"/>
          <w:insideH w:val="single" w:sz="4" w:space="0" w:color="3F6294"/>
        </w:tblBorders>
        <w:tblLook w:val="04A0" w:firstRow="1" w:lastRow="0" w:firstColumn="1" w:lastColumn="0" w:noHBand="0" w:noVBand="1"/>
      </w:tblPr>
      <w:tblGrid>
        <w:gridCol w:w="3681"/>
        <w:gridCol w:w="2551"/>
        <w:gridCol w:w="2265"/>
      </w:tblGrid>
      <w:tr w:rsidR="00CB3FDA" w14:paraId="56BFBA86" w14:textId="77777777" w:rsidTr="006704F9">
        <w:trPr>
          <w:cnfStyle w:val="100000000000" w:firstRow="1" w:lastRow="0" w:firstColumn="0" w:lastColumn="0" w:oddVBand="0" w:evenVBand="0" w:oddHBand="0" w:evenHBand="0" w:firstRowFirstColumn="0" w:firstRowLastColumn="0" w:lastRowFirstColumn="0" w:lastRowLastColumn="0"/>
        </w:trPr>
        <w:tc>
          <w:tcPr>
            <w:tcW w:w="3681" w:type="dxa"/>
          </w:tcPr>
          <w:p w14:paraId="64343845" w14:textId="77777777" w:rsidR="00CB3FDA" w:rsidRDefault="00CF0A2C" w:rsidP="00CF0A2C">
            <w:pPr>
              <w:pStyle w:val="TableColumnHeadingCentred"/>
            </w:pPr>
            <w:r>
              <w:t>Member</w:t>
            </w:r>
          </w:p>
        </w:tc>
        <w:tc>
          <w:tcPr>
            <w:tcW w:w="2551" w:type="dxa"/>
          </w:tcPr>
          <w:p w14:paraId="425F9DD0" w14:textId="77777777" w:rsidR="00CB3FDA" w:rsidRDefault="00CF0A2C" w:rsidP="00CF0A2C">
            <w:pPr>
              <w:pStyle w:val="TableColumnHeadingCentred"/>
            </w:pPr>
            <w:r>
              <w:t>Number of meetings eligible to attend</w:t>
            </w:r>
          </w:p>
        </w:tc>
        <w:tc>
          <w:tcPr>
            <w:tcW w:w="2265" w:type="dxa"/>
          </w:tcPr>
          <w:p w14:paraId="6935F9DE" w14:textId="77777777" w:rsidR="00CB3FDA" w:rsidRDefault="00CF0A2C" w:rsidP="00CF0A2C">
            <w:pPr>
              <w:pStyle w:val="TableColumnHeadingCentred"/>
            </w:pPr>
            <w:r>
              <w:t>Number of meetings attended</w:t>
            </w:r>
          </w:p>
        </w:tc>
      </w:tr>
      <w:tr w:rsidR="00CF0A2C" w14:paraId="6A8951FE" w14:textId="77777777" w:rsidTr="006704F9">
        <w:tc>
          <w:tcPr>
            <w:tcW w:w="3681" w:type="dxa"/>
            <w:shd w:val="clear" w:color="auto" w:fill="auto"/>
          </w:tcPr>
          <w:p w14:paraId="146390B5" w14:textId="77777777" w:rsidR="00CF0A2C" w:rsidRDefault="00CF0A2C" w:rsidP="00CF0A2C">
            <w:pPr>
              <w:pStyle w:val="TableGraphic"/>
            </w:pPr>
            <w:r w:rsidRPr="00A73AA2">
              <w:t>Michael Andrew AO (Chair)</w:t>
            </w:r>
          </w:p>
        </w:tc>
        <w:tc>
          <w:tcPr>
            <w:tcW w:w="2551" w:type="dxa"/>
            <w:shd w:val="clear" w:color="auto" w:fill="auto"/>
          </w:tcPr>
          <w:p w14:paraId="4AB3240E" w14:textId="77777777" w:rsidR="00CF0A2C" w:rsidRDefault="00CF0A2C" w:rsidP="00CF0A2C">
            <w:pPr>
              <w:pStyle w:val="TableGraphic"/>
              <w:jc w:val="center"/>
            </w:pPr>
            <w:r>
              <w:t>10</w:t>
            </w:r>
          </w:p>
        </w:tc>
        <w:tc>
          <w:tcPr>
            <w:tcW w:w="2265" w:type="dxa"/>
            <w:shd w:val="clear" w:color="auto" w:fill="auto"/>
          </w:tcPr>
          <w:p w14:paraId="557AFEAF" w14:textId="77777777" w:rsidR="00CF0A2C" w:rsidRDefault="00CF0A2C" w:rsidP="00CF0A2C">
            <w:pPr>
              <w:pStyle w:val="TableGraphic"/>
              <w:jc w:val="center"/>
            </w:pPr>
            <w:r>
              <w:t>8</w:t>
            </w:r>
          </w:p>
        </w:tc>
      </w:tr>
      <w:tr w:rsidR="00CF0A2C" w14:paraId="1F7CAAB5" w14:textId="77777777" w:rsidTr="006704F9">
        <w:tc>
          <w:tcPr>
            <w:tcW w:w="3681" w:type="dxa"/>
            <w:shd w:val="clear" w:color="auto" w:fill="auto"/>
          </w:tcPr>
          <w:p w14:paraId="311B75FC" w14:textId="77777777" w:rsidR="00CF0A2C" w:rsidRDefault="00CF0A2C" w:rsidP="00CF0A2C">
            <w:pPr>
              <w:pStyle w:val="TableGraphic"/>
            </w:pPr>
            <w:r w:rsidRPr="00A73AA2">
              <w:t>Karen Payne</w:t>
            </w:r>
          </w:p>
        </w:tc>
        <w:tc>
          <w:tcPr>
            <w:tcW w:w="2551" w:type="dxa"/>
            <w:shd w:val="clear" w:color="auto" w:fill="auto"/>
          </w:tcPr>
          <w:p w14:paraId="058A0FEE" w14:textId="77777777" w:rsidR="00CF0A2C" w:rsidRDefault="00CF0A2C" w:rsidP="00CF0A2C">
            <w:pPr>
              <w:pStyle w:val="TableGraphic"/>
              <w:jc w:val="center"/>
            </w:pPr>
            <w:r>
              <w:t>9</w:t>
            </w:r>
          </w:p>
        </w:tc>
        <w:tc>
          <w:tcPr>
            <w:tcW w:w="2265" w:type="dxa"/>
            <w:shd w:val="clear" w:color="auto" w:fill="auto"/>
          </w:tcPr>
          <w:p w14:paraId="1C91C699" w14:textId="77777777" w:rsidR="00CF0A2C" w:rsidRDefault="00CF0A2C" w:rsidP="00CF0A2C">
            <w:pPr>
              <w:pStyle w:val="TableGraphic"/>
              <w:jc w:val="center"/>
            </w:pPr>
            <w:r>
              <w:t>9</w:t>
            </w:r>
          </w:p>
        </w:tc>
      </w:tr>
      <w:tr w:rsidR="00CF0A2C" w14:paraId="51CA922D" w14:textId="77777777" w:rsidTr="006704F9">
        <w:tc>
          <w:tcPr>
            <w:tcW w:w="3681" w:type="dxa"/>
            <w:shd w:val="clear" w:color="auto" w:fill="auto"/>
          </w:tcPr>
          <w:p w14:paraId="0CADB467" w14:textId="77777777" w:rsidR="00CF0A2C" w:rsidRDefault="00CF0A2C" w:rsidP="00CF0A2C">
            <w:pPr>
              <w:pStyle w:val="TableGraphic"/>
            </w:pPr>
            <w:proofErr w:type="spellStart"/>
            <w:r>
              <w:t>Rosheen</w:t>
            </w:r>
            <w:proofErr w:type="spellEnd"/>
            <w:r>
              <w:t xml:space="preserve"> Garnon</w:t>
            </w:r>
          </w:p>
        </w:tc>
        <w:tc>
          <w:tcPr>
            <w:tcW w:w="2551" w:type="dxa"/>
            <w:shd w:val="clear" w:color="auto" w:fill="auto"/>
          </w:tcPr>
          <w:p w14:paraId="7EEE944D" w14:textId="77777777" w:rsidR="00CF0A2C" w:rsidRDefault="00CF0A2C" w:rsidP="00CF0A2C">
            <w:pPr>
              <w:pStyle w:val="TableGraphic"/>
              <w:jc w:val="center"/>
            </w:pPr>
            <w:r>
              <w:t>10</w:t>
            </w:r>
          </w:p>
        </w:tc>
        <w:tc>
          <w:tcPr>
            <w:tcW w:w="2265" w:type="dxa"/>
            <w:shd w:val="clear" w:color="auto" w:fill="auto"/>
          </w:tcPr>
          <w:p w14:paraId="21BC59B7" w14:textId="77777777" w:rsidR="00CF0A2C" w:rsidRDefault="00CF0A2C" w:rsidP="00CF0A2C">
            <w:pPr>
              <w:pStyle w:val="TableGraphic"/>
              <w:jc w:val="center"/>
            </w:pPr>
            <w:r>
              <w:t>10</w:t>
            </w:r>
          </w:p>
        </w:tc>
      </w:tr>
      <w:tr w:rsidR="00CF0A2C" w14:paraId="05D477A1" w14:textId="77777777" w:rsidTr="006704F9">
        <w:tc>
          <w:tcPr>
            <w:tcW w:w="3681" w:type="dxa"/>
            <w:shd w:val="clear" w:color="auto" w:fill="auto"/>
          </w:tcPr>
          <w:p w14:paraId="6356BA3D" w14:textId="5F16C710" w:rsidR="00CF0A2C" w:rsidRDefault="00901A34" w:rsidP="00CF0A2C">
            <w:pPr>
              <w:pStyle w:val="TableGraphic"/>
            </w:pPr>
            <w:r>
              <w:t xml:space="preserve">Dr </w:t>
            </w:r>
            <w:r w:rsidR="00CF0A2C">
              <w:t xml:space="preserve">Julianne </w:t>
            </w:r>
            <w:proofErr w:type="spellStart"/>
            <w:r w:rsidR="00CF0A2C">
              <w:t>Jaques</w:t>
            </w:r>
            <w:proofErr w:type="spellEnd"/>
          </w:p>
        </w:tc>
        <w:tc>
          <w:tcPr>
            <w:tcW w:w="2551" w:type="dxa"/>
            <w:shd w:val="clear" w:color="auto" w:fill="auto"/>
          </w:tcPr>
          <w:p w14:paraId="11339399" w14:textId="77777777" w:rsidR="00CF0A2C" w:rsidRDefault="00CF0A2C" w:rsidP="00CF0A2C">
            <w:pPr>
              <w:pStyle w:val="TableGraphic"/>
              <w:jc w:val="center"/>
            </w:pPr>
            <w:r>
              <w:t>10</w:t>
            </w:r>
          </w:p>
        </w:tc>
        <w:tc>
          <w:tcPr>
            <w:tcW w:w="2265" w:type="dxa"/>
            <w:shd w:val="clear" w:color="auto" w:fill="auto"/>
          </w:tcPr>
          <w:p w14:paraId="02B21B78" w14:textId="77777777" w:rsidR="00CF0A2C" w:rsidRDefault="00CF0A2C" w:rsidP="00CF0A2C">
            <w:pPr>
              <w:pStyle w:val="TableGraphic"/>
              <w:jc w:val="center"/>
            </w:pPr>
            <w:r>
              <w:t>9</w:t>
            </w:r>
          </w:p>
        </w:tc>
      </w:tr>
      <w:tr w:rsidR="00CF0A2C" w14:paraId="53673AE8" w14:textId="77777777" w:rsidTr="006704F9">
        <w:tc>
          <w:tcPr>
            <w:tcW w:w="3681" w:type="dxa"/>
            <w:shd w:val="clear" w:color="auto" w:fill="auto"/>
          </w:tcPr>
          <w:p w14:paraId="42FE1556" w14:textId="77777777" w:rsidR="00CF0A2C" w:rsidRDefault="00CF0A2C" w:rsidP="00CF0A2C">
            <w:pPr>
              <w:pStyle w:val="TableGraphic"/>
            </w:pPr>
            <w:r>
              <w:t>Neville Mitchell</w:t>
            </w:r>
          </w:p>
        </w:tc>
        <w:tc>
          <w:tcPr>
            <w:tcW w:w="2551" w:type="dxa"/>
            <w:shd w:val="clear" w:color="auto" w:fill="auto"/>
          </w:tcPr>
          <w:p w14:paraId="28855768" w14:textId="77777777" w:rsidR="00CF0A2C" w:rsidRDefault="00CF0A2C" w:rsidP="00CF0A2C">
            <w:pPr>
              <w:pStyle w:val="TableGraphic"/>
              <w:jc w:val="center"/>
            </w:pPr>
            <w:r>
              <w:t>10</w:t>
            </w:r>
          </w:p>
        </w:tc>
        <w:tc>
          <w:tcPr>
            <w:tcW w:w="2265" w:type="dxa"/>
            <w:shd w:val="clear" w:color="auto" w:fill="auto"/>
          </w:tcPr>
          <w:p w14:paraId="1E76ECCD" w14:textId="77777777" w:rsidR="00CF0A2C" w:rsidRDefault="00CF0A2C" w:rsidP="00CF0A2C">
            <w:pPr>
              <w:pStyle w:val="TableGraphic"/>
              <w:jc w:val="center"/>
            </w:pPr>
            <w:r>
              <w:t>9</w:t>
            </w:r>
          </w:p>
        </w:tc>
      </w:tr>
      <w:tr w:rsidR="00CF0A2C" w14:paraId="05738972" w14:textId="77777777" w:rsidTr="006704F9">
        <w:tc>
          <w:tcPr>
            <w:tcW w:w="3681" w:type="dxa"/>
            <w:shd w:val="clear" w:color="auto" w:fill="auto"/>
          </w:tcPr>
          <w:p w14:paraId="3A4BA63B" w14:textId="7F8D5055" w:rsidR="00CF0A2C" w:rsidRDefault="00901A34" w:rsidP="00CF0A2C">
            <w:pPr>
              <w:pStyle w:val="TableGraphic"/>
            </w:pPr>
            <w:r>
              <w:t xml:space="preserve">Dr </w:t>
            </w:r>
            <w:r w:rsidR="00CF0A2C">
              <w:t xml:space="preserve">Mark </w:t>
            </w:r>
            <w:proofErr w:type="spellStart"/>
            <w:r w:rsidR="00CF0A2C">
              <w:t>Pizzacalla</w:t>
            </w:r>
            <w:proofErr w:type="spellEnd"/>
          </w:p>
        </w:tc>
        <w:tc>
          <w:tcPr>
            <w:tcW w:w="2551" w:type="dxa"/>
            <w:shd w:val="clear" w:color="auto" w:fill="auto"/>
          </w:tcPr>
          <w:p w14:paraId="0334F802" w14:textId="77777777" w:rsidR="00CF0A2C" w:rsidRDefault="00CF0A2C" w:rsidP="00CF0A2C">
            <w:pPr>
              <w:pStyle w:val="TableGraphic"/>
              <w:jc w:val="center"/>
            </w:pPr>
            <w:r>
              <w:t>10</w:t>
            </w:r>
          </w:p>
        </w:tc>
        <w:tc>
          <w:tcPr>
            <w:tcW w:w="2265" w:type="dxa"/>
            <w:shd w:val="clear" w:color="auto" w:fill="auto"/>
          </w:tcPr>
          <w:p w14:paraId="221B1EA6" w14:textId="77777777" w:rsidR="00CF0A2C" w:rsidRDefault="00CF0A2C" w:rsidP="00CF0A2C">
            <w:pPr>
              <w:pStyle w:val="TableGraphic"/>
              <w:jc w:val="center"/>
            </w:pPr>
            <w:r>
              <w:t>9</w:t>
            </w:r>
          </w:p>
        </w:tc>
      </w:tr>
      <w:tr w:rsidR="00CF0A2C" w14:paraId="446E3559" w14:textId="77777777" w:rsidTr="006704F9">
        <w:tc>
          <w:tcPr>
            <w:tcW w:w="3681" w:type="dxa"/>
            <w:shd w:val="clear" w:color="auto" w:fill="auto"/>
          </w:tcPr>
          <w:p w14:paraId="3C6C9B4D" w14:textId="77777777" w:rsidR="00CF0A2C" w:rsidRDefault="00CF0A2C" w:rsidP="00CF0A2C">
            <w:pPr>
              <w:pStyle w:val="TableGraphic"/>
            </w:pPr>
            <w:r>
              <w:t>Ann</w:t>
            </w:r>
            <w:r>
              <w:noBreakHyphen/>
              <w:t>Maree Wolff</w:t>
            </w:r>
          </w:p>
        </w:tc>
        <w:tc>
          <w:tcPr>
            <w:tcW w:w="2551" w:type="dxa"/>
            <w:shd w:val="clear" w:color="auto" w:fill="auto"/>
          </w:tcPr>
          <w:p w14:paraId="2D8EBE5A" w14:textId="77777777" w:rsidR="00CF0A2C" w:rsidRDefault="00CF0A2C" w:rsidP="00CF0A2C">
            <w:pPr>
              <w:pStyle w:val="TableGraphic"/>
              <w:jc w:val="center"/>
            </w:pPr>
            <w:r>
              <w:t>10</w:t>
            </w:r>
          </w:p>
        </w:tc>
        <w:tc>
          <w:tcPr>
            <w:tcW w:w="2265" w:type="dxa"/>
            <w:shd w:val="clear" w:color="auto" w:fill="auto"/>
          </w:tcPr>
          <w:p w14:paraId="58295351" w14:textId="77777777" w:rsidR="00CF0A2C" w:rsidRDefault="00CF0A2C" w:rsidP="00CF0A2C">
            <w:pPr>
              <w:pStyle w:val="TableGraphic"/>
              <w:jc w:val="center"/>
            </w:pPr>
            <w:r>
              <w:t>10</w:t>
            </w:r>
          </w:p>
        </w:tc>
      </w:tr>
      <w:tr w:rsidR="00CF0A2C" w14:paraId="40971658" w14:textId="77777777" w:rsidTr="006704F9">
        <w:tc>
          <w:tcPr>
            <w:tcW w:w="3681" w:type="dxa"/>
            <w:shd w:val="clear" w:color="auto" w:fill="auto"/>
          </w:tcPr>
          <w:p w14:paraId="530178E3" w14:textId="77777777" w:rsidR="00CF0A2C" w:rsidRDefault="00CF0A2C" w:rsidP="00CF0A2C">
            <w:pPr>
              <w:pStyle w:val="TableGraphic"/>
            </w:pPr>
            <w:r>
              <w:t xml:space="preserve">Craig </w:t>
            </w:r>
            <w:proofErr w:type="spellStart"/>
            <w:r>
              <w:t>Yaxley</w:t>
            </w:r>
            <w:proofErr w:type="spellEnd"/>
          </w:p>
        </w:tc>
        <w:tc>
          <w:tcPr>
            <w:tcW w:w="2551" w:type="dxa"/>
            <w:shd w:val="clear" w:color="auto" w:fill="auto"/>
          </w:tcPr>
          <w:p w14:paraId="7A878955" w14:textId="77777777" w:rsidR="00CF0A2C" w:rsidRDefault="00CF0A2C" w:rsidP="00CF0A2C">
            <w:pPr>
              <w:pStyle w:val="TableGraphic"/>
              <w:jc w:val="center"/>
            </w:pPr>
            <w:r>
              <w:t>10</w:t>
            </w:r>
          </w:p>
        </w:tc>
        <w:tc>
          <w:tcPr>
            <w:tcW w:w="2265" w:type="dxa"/>
            <w:shd w:val="clear" w:color="auto" w:fill="auto"/>
          </w:tcPr>
          <w:p w14:paraId="3CAC7F29" w14:textId="77777777" w:rsidR="00CF0A2C" w:rsidRDefault="00CF0A2C" w:rsidP="00CF0A2C">
            <w:pPr>
              <w:pStyle w:val="TableGraphic"/>
              <w:jc w:val="center"/>
            </w:pPr>
            <w:r>
              <w:t>9</w:t>
            </w:r>
          </w:p>
        </w:tc>
      </w:tr>
      <w:tr w:rsidR="00CF0A2C" w14:paraId="704C7D0A" w14:textId="77777777" w:rsidTr="006704F9">
        <w:tc>
          <w:tcPr>
            <w:tcW w:w="3681" w:type="dxa"/>
            <w:shd w:val="clear" w:color="auto" w:fill="auto"/>
          </w:tcPr>
          <w:p w14:paraId="7F410E9F" w14:textId="77777777" w:rsidR="00CF0A2C" w:rsidRDefault="00CF0A2C" w:rsidP="00CF0A2C">
            <w:pPr>
              <w:pStyle w:val="TableGraphic"/>
            </w:pPr>
            <w:r w:rsidRPr="00A73AA2">
              <w:t xml:space="preserve">John Fraser </w:t>
            </w:r>
            <w:r w:rsidRPr="00A73AA2">
              <w:rPr>
                <w:vertAlign w:val="superscript"/>
              </w:rPr>
              <w:t>(a)</w:t>
            </w:r>
          </w:p>
        </w:tc>
        <w:tc>
          <w:tcPr>
            <w:tcW w:w="2551" w:type="dxa"/>
            <w:shd w:val="clear" w:color="auto" w:fill="auto"/>
          </w:tcPr>
          <w:p w14:paraId="7DDAF619" w14:textId="77777777" w:rsidR="00CF0A2C" w:rsidRDefault="00CF0A2C" w:rsidP="00CF0A2C">
            <w:pPr>
              <w:pStyle w:val="TableGraphic"/>
              <w:jc w:val="center"/>
            </w:pPr>
            <w:r>
              <w:t>1</w:t>
            </w:r>
          </w:p>
        </w:tc>
        <w:tc>
          <w:tcPr>
            <w:tcW w:w="2265" w:type="dxa"/>
            <w:shd w:val="clear" w:color="auto" w:fill="auto"/>
          </w:tcPr>
          <w:p w14:paraId="54202587" w14:textId="77777777" w:rsidR="00CF0A2C" w:rsidRDefault="00CF0A2C" w:rsidP="00CF0A2C">
            <w:pPr>
              <w:pStyle w:val="TableGraphic"/>
              <w:jc w:val="center"/>
            </w:pPr>
            <w:r>
              <w:t>1</w:t>
            </w:r>
          </w:p>
        </w:tc>
      </w:tr>
      <w:tr w:rsidR="00CF0A2C" w14:paraId="67C844D0" w14:textId="77777777" w:rsidTr="006704F9">
        <w:tc>
          <w:tcPr>
            <w:tcW w:w="3681" w:type="dxa"/>
            <w:shd w:val="clear" w:color="auto" w:fill="auto"/>
          </w:tcPr>
          <w:p w14:paraId="4165D009" w14:textId="77777777" w:rsidR="00CF0A2C" w:rsidRDefault="00CF0A2C" w:rsidP="00CF0A2C">
            <w:pPr>
              <w:pStyle w:val="TableGraphic"/>
            </w:pPr>
            <w:r w:rsidRPr="00A73AA2">
              <w:t xml:space="preserve">Phil </w:t>
            </w:r>
            <w:proofErr w:type="spellStart"/>
            <w:r>
              <w:t>Gaetjens</w:t>
            </w:r>
            <w:proofErr w:type="spellEnd"/>
            <w:r w:rsidRPr="00A73AA2">
              <w:t xml:space="preserve"> </w:t>
            </w:r>
            <w:r w:rsidRPr="00A73AA2">
              <w:rPr>
                <w:vertAlign w:val="superscript"/>
              </w:rPr>
              <w:t>(a)</w:t>
            </w:r>
          </w:p>
        </w:tc>
        <w:tc>
          <w:tcPr>
            <w:tcW w:w="2551" w:type="dxa"/>
            <w:shd w:val="clear" w:color="auto" w:fill="auto"/>
          </w:tcPr>
          <w:p w14:paraId="79EAB638" w14:textId="77777777" w:rsidR="00CF0A2C" w:rsidRDefault="00CF0A2C" w:rsidP="00CF0A2C">
            <w:pPr>
              <w:pStyle w:val="TableGraphic"/>
              <w:jc w:val="center"/>
            </w:pPr>
            <w:r>
              <w:t>9</w:t>
            </w:r>
          </w:p>
        </w:tc>
        <w:tc>
          <w:tcPr>
            <w:tcW w:w="2265" w:type="dxa"/>
            <w:shd w:val="clear" w:color="auto" w:fill="auto"/>
          </w:tcPr>
          <w:p w14:paraId="3C5D7117" w14:textId="77777777" w:rsidR="00CF0A2C" w:rsidRDefault="00CF0A2C" w:rsidP="00CF0A2C">
            <w:pPr>
              <w:pStyle w:val="TableGraphic"/>
              <w:jc w:val="center"/>
            </w:pPr>
            <w:r>
              <w:t>9</w:t>
            </w:r>
          </w:p>
        </w:tc>
      </w:tr>
      <w:tr w:rsidR="00CF0A2C" w14:paraId="5B236A26" w14:textId="77777777" w:rsidTr="006704F9">
        <w:tc>
          <w:tcPr>
            <w:tcW w:w="3681" w:type="dxa"/>
            <w:shd w:val="clear" w:color="auto" w:fill="auto"/>
          </w:tcPr>
          <w:p w14:paraId="0904C804" w14:textId="77777777" w:rsidR="00CF0A2C" w:rsidRDefault="00CF0A2C" w:rsidP="00CF0A2C">
            <w:pPr>
              <w:pStyle w:val="TableGraphic"/>
            </w:pPr>
            <w:r>
              <w:t>Chris Jordan</w:t>
            </w:r>
            <w:r w:rsidRPr="005B623A">
              <w:t xml:space="preserve"> </w:t>
            </w:r>
            <w:r>
              <w:t xml:space="preserve">AO </w:t>
            </w:r>
            <w:r>
              <w:rPr>
                <w:vertAlign w:val="superscript"/>
              </w:rPr>
              <w:t>(a</w:t>
            </w:r>
            <w:r w:rsidRPr="005B623A">
              <w:rPr>
                <w:vertAlign w:val="superscript"/>
              </w:rPr>
              <w:t>)</w:t>
            </w:r>
          </w:p>
        </w:tc>
        <w:tc>
          <w:tcPr>
            <w:tcW w:w="2551" w:type="dxa"/>
            <w:shd w:val="clear" w:color="auto" w:fill="auto"/>
          </w:tcPr>
          <w:p w14:paraId="1779FCE0" w14:textId="77777777" w:rsidR="00CF0A2C" w:rsidRDefault="00CF0A2C" w:rsidP="00CF0A2C">
            <w:pPr>
              <w:pStyle w:val="TableGraphic"/>
              <w:jc w:val="center"/>
            </w:pPr>
            <w:r>
              <w:t>10</w:t>
            </w:r>
          </w:p>
        </w:tc>
        <w:tc>
          <w:tcPr>
            <w:tcW w:w="2265" w:type="dxa"/>
            <w:shd w:val="clear" w:color="auto" w:fill="auto"/>
          </w:tcPr>
          <w:p w14:paraId="3DE6D26D" w14:textId="77777777" w:rsidR="00CF0A2C" w:rsidRDefault="00CF0A2C" w:rsidP="00CF0A2C">
            <w:pPr>
              <w:pStyle w:val="TableGraphic"/>
              <w:jc w:val="center"/>
            </w:pPr>
            <w:r>
              <w:t>10</w:t>
            </w:r>
          </w:p>
        </w:tc>
      </w:tr>
      <w:tr w:rsidR="00CF0A2C" w14:paraId="6BFDC3CE" w14:textId="77777777" w:rsidTr="006704F9">
        <w:tc>
          <w:tcPr>
            <w:tcW w:w="3681" w:type="dxa"/>
            <w:shd w:val="clear" w:color="auto" w:fill="auto"/>
          </w:tcPr>
          <w:p w14:paraId="78AC29BD" w14:textId="77777777" w:rsidR="00CF0A2C" w:rsidRDefault="00CF0A2C" w:rsidP="00CF0A2C">
            <w:pPr>
              <w:pStyle w:val="TableGraphic"/>
            </w:pPr>
            <w:r>
              <w:t xml:space="preserve">Peter Quiggin PSM </w:t>
            </w:r>
            <w:r>
              <w:rPr>
                <w:vertAlign w:val="superscript"/>
              </w:rPr>
              <w:t>(a</w:t>
            </w:r>
            <w:r w:rsidRPr="005B623A">
              <w:rPr>
                <w:vertAlign w:val="superscript"/>
              </w:rPr>
              <w:t>)</w:t>
            </w:r>
          </w:p>
        </w:tc>
        <w:tc>
          <w:tcPr>
            <w:tcW w:w="2551" w:type="dxa"/>
            <w:shd w:val="clear" w:color="auto" w:fill="auto"/>
          </w:tcPr>
          <w:p w14:paraId="7FCA341D" w14:textId="77777777" w:rsidR="00CF0A2C" w:rsidRDefault="00CF0A2C" w:rsidP="00CF0A2C">
            <w:pPr>
              <w:pStyle w:val="TableGraphic"/>
              <w:jc w:val="center"/>
            </w:pPr>
            <w:r>
              <w:t>10</w:t>
            </w:r>
          </w:p>
        </w:tc>
        <w:tc>
          <w:tcPr>
            <w:tcW w:w="2265" w:type="dxa"/>
            <w:shd w:val="clear" w:color="auto" w:fill="auto"/>
          </w:tcPr>
          <w:p w14:paraId="0B3E3180" w14:textId="77777777" w:rsidR="00CF0A2C" w:rsidRDefault="00CF0A2C" w:rsidP="00CF0A2C">
            <w:pPr>
              <w:pStyle w:val="TableGraphic"/>
              <w:jc w:val="center"/>
            </w:pPr>
            <w:r>
              <w:t>10</w:t>
            </w:r>
          </w:p>
        </w:tc>
      </w:tr>
    </w:tbl>
    <w:p w14:paraId="014D9A8B" w14:textId="77777777" w:rsidR="00CB3FDA" w:rsidRDefault="006704F9" w:rsidP="00CB3FDA">
      <w:pPr>
        <w:pStyle w:val="TableGraphic"/>
        <w:rPr>
          <w:color w:val="000000"/>
          <w:sz w:val="22"/>
        </w:rPr>
      </w:pPr>
      <w:r w:rsidRPr="006704F9">
        <w:rPr>
          <w:color w:val="000000"/>
          <w:sz w:val="22"/>
          <w:vertAlign w:val="superscript"/>
        </w:rPr>
        <w:t>(a)</w:t>
      </w:r>
      <w:r>
        <w:rPr>
          <w:color w:val="000000"/>
          <w:sz w:val="22"/>
        </w:rPr>
        <w:t xml:space="preserve"> </w:t>
      </w:r>
      <w:r w:rsidRPr="006704F9">
        <w:rPr>
          <w:color w:val="000000"/>
          <w:sz w:val="22"/>
        </w:rPr>
        <w:t>The Board’s Charter allows for ex</w:t>
      </w:r>
      <w:r>
        <w:rPr>
          <w:color w:val="000000"/>
          <w:sz w:val="22"/>
        </w:rPr>
        <w:noBreakHyphen/>
      </w:r>
      <w:r w:rsidRPr="006704F9">
        <w:rPr>
          <w:color w:val="000000"/>
          <w:sz w:val="22"/>
        </w:rPr>
        <w:t>officio members of the Board to be represented by a delegate at Board meetings.</w:t>
      </w:r>
    </w:p>
    <w:p w14:paraId="192E7EC5" w14:textId="77777777" w:rsidR="00E036E8" w:rsidRDefault="00E036E8" w:rsidP="00E036E8">
      <w:pPr>
        <w:pStyle w:val="Heading1"/>
      </w:pPr>
      <w:bookmarkStart w:id="29" w:name="_Toc27652711"/>
      <w:r>
        <w:lastRenderedPageBreak/>
        <w:t xml:space="preserve">Appendix </w:t>
      </w:r>
      <w:r w:rsidR="00A12846">
        <w:t>F</w:t>
      </w:r>
      <w:r>
        <w:t>: Members of the Board’s Advisory Panel</w:t>
      </w:r>
      <w:bookmarkEnd w:id="29"/>
    </w:p>
    <w:p w14:paraId="27C20EDB" w14:textId="77777777" w:rsidR="00E036E8" w:rsidRDefault="00613C39" w:rsidP="00E036E8">
      <w:pPr>
        <w:pStyle w:val="TableMainHeading"/>
      </w:pPr>
      <w:bookmarkStart w:id="30" w:name="_Toc27652719"/>
      <w:r>
        <w:t>Table 7</w:t>
      </w:r>
      <w:r w:rsidR="00E036E8">
        <w:t>: Members of Advisory Panel as at 30 June 2019</w:t>
      </w:r>
      <w:bookmarkEnd w:id="30"/>
    </w:p>
    <w:tbl>
      <w:tblPr>
        <w:tblStyle w:val="TableGrid"/>
        <w:tblW w:w="0" w:type="auto"/>
        <w:tblBorders>
          <w:left w:val="none" w:sz="0" w:space="0" w:color="auto"/>
          <w:right w:val="none" w:sz="0" w:space="0" w:color="auto"/>
          <w:insideH w:val="single" w:sz="4" w:space="0" w:color="3F6294"/>
        </w:tblBorders>
        <w:tblLook w:val="04A0" w:firstRow="1" w:lastRow="0" w:firstColumn="1" w:lastColumn="0" w:noHBand="0" w:noVBand="1"/>
      </w:tblPr>
      <w:tblGrid>
        <w:gridCol w:w="2552"/>
        <w:gridCol w:w="5945"/>
      </w:tblGrid>
      <w:tr w:rsidR="00E036E8" w14:paraId="3D6767C7" w14:textId="77777777" w:rsidTr="00FD5604">
        <w:trPr>
          <w:cnfStyle w:val="100000000000" w:firstRow="1" w:lastRow="0" w:firstColumn="0" w:lastColumn="0" w:oddVBand="0" w:evenVBand="0" w:oddHBand="0" w:evenHBand="0" w:firstRowFirstColumn="0" w:firstRowLastColumn="0" w:lastRowFirstColumn="0" w:lastRowLastColumn="0"/>
          <w:tblHeader/>
        </w:trPr>
        <w:tc>
          <w:tcPr>
            <w:tcW w:w="2552" w:type="dxa"/>
          </w:tcPr>
          <w:p w14:paraId="5AC0AAE1" w14:textId="77777777" w:rsidR="00E036E8" w:rsidRDefault="00E036E8" w:rsidP="00E036E8">
            <w:pPr>
              <w:pStyle w:val="TableColumnHeadingLeft"/>
            </w:pPr>
            <w:r>
              <w:t>Panel Member</w:t>
            </w:r>
          </w:p>
        </w:tc>
        <w:tc>
          <w:tcPr>
            <w:tcW w:w="5945" w:type="dxa"/>
          </w:tcPr>
          <w:p w14:paraId="2C686E97" w14:textId="77777777" w:rsidR="00E036E8" w:rsidRDefault="00E036E8" w:rsidP="00E036E8">
            <w:pPr>
              <w:pStyle w:val="TableColumnHeadingLeft"/>
            </w:pPr>
            <w:r>
              <w:t>Position, Organisation</w:t>
            </w:r>
          </w:p>
        </w:tc>
      </w:tr>
      <w:tr w:rsidR="00E26E2E" w14:paraId="0B7A36F3" w14:textId="77777777" w:rsidTr="00FD5604">
        <w:tc>
          <w:tcPr>
            <w:tcW w:w="2552" w:type="dxa"/>
            <w:shd w:val="clear" w:color="auto" w:fill="auto"/>
            <w:vAlign w:val="center"/>
          </w:tcPr>
          <w:p w14:paraId="43051DBA" w14:textId="77777777" w:rsidR="00E26E2E" w:rsidRDefault="00E26E2E" w:rsidP="00E26E2E">
            <w:pPr>
              <w:pStyle w:val="TableTextBase"/>
            </w:pPr>
            <w:r w:rsidRPr="00CE02A5">
              <w:rPr>
                <w:rFonts w:cs="Arial"/>
                <w:color w:val="000000" w:themeColor="text1"/>
              </w:rPr>
              <w:t>Michael Barbour</w:t>
            </w:r>
          </w:p>
        </w:tc>
        <w:tc>
          <w:tcPr>
            <w:tcW w:w="5945" w:type="dxa"/>
            <w:shd w:val="clear" w:color="auto" w:fill="auto"/>
            <w:vAlign w:val="center"/>
          </w:tcPr>
          <w:p w14:paraId="365239A5" w14:textId="77777777" w:rsidR="00E26E2E" w:rsidRDefault="00E26E2E" w:rsidP="00E26E2E">
            <w:pPr>
              <w:pStyle w:val="TableTextBase"/>
            </w:pPr>
            <w:r w:rsidRPr="00C33654">
              <w:rPr>
                <w:rFonts w:cs="Arial"/>
                <w:color w:val="000000" w:themeColor="text1"/>
              </w:rPr>
              <w:t>General Manager, Group Tax, Westpac</w:t>
            </w:r>
          </w:p>
        </w:tc>
      </w:tr>
      <w:tr w:rsidR="00E26E2E" w14:paraId="6452573F" w14:textId="77777777" w:rsidTr="00FD5604">
        <w:tc>
          <w:tcPr>
            <w:tcW w:w="2552" w:type="dxa"/>
            <w:shd w:val="clear" w:color="auto" w:fill="auto"/>
            <w:vAlign w:val="center"/>
          </w:tcPr>
          <w:p w14:paraId="6A9AD11B" w14:textId="77777777" w:rsidR="00E26E2E" w:rsidRDefault="00E26E2E" w:rsidP="00E26E2E">
            <w:pPr>
              <w:pStyle w:val="TableTextBase"/>
            </w:pPr>
            <w:r w:rsidRPr="00CE02A5">
              <w:rPr>
                <w:rFonts w:cs="Arial"/>
                <w:color w:val="000000" w:themeColor="text1"/>
              </w:rPr>
              <w:t xml:space="preserve">Paul </w:t>
            </w:r>
            <w:proofErr w:type="spellStart"/>
            <w:r w:rsidRPr="00CE02A5">
              <w:rPr>
                <w:rFonts w:cs="Arial"/>
                <w:color w:val="000000" w:themeColor="text1"/>
              </w:rPr>
              <w:t>Balkus</w:t>
            </w:r>
            <w:proofErr w:type="spellEnd"/>
          </w:p>
        </w:tc>
        <w:tc>
          <w:tcPr>
            <w:tcW w:w="5945" w:type="dxa"/>
            <w:shd w:val="clear" w:color="auto" w:fill="auto"/>
            <w:vAlign w:val="center"/>
          </w:tcPr>
          <w:p w14:paraId="5054E7ED" w14:textId="77777777" w:rsidR="00E26E2E" w:rsidRDefault="00E26E2E" w:rsidP="00E26E2E">
            <w:pPr>
              <w:pStyle w:val="TableTextBase"/>
            </w:pPr>
            <w:r w:rsidRPr="00C33654">
              <w:rPr>
                <w:rFonts w:cs="Arial"/>
                <w:color w:val="000000" w:themeColor="text1"/>
              </w:rPr>
              <w:t>Co-leader - Oceania Transfer Pricing, EY</w:t>
            </w:r>
          </w:p>
        </w:tc>
      </w:tr>
      <w:tr w:rsidR="00E26E2E" w14:paraId="6883FF04" w14:textId="77777777" w:rsidTr="00FD5604">
        <w:tc>
          <w:tcPr>
            <w:tcW w:w="2552" w:type="dxa"/>
            <w:shd w:val="clear" w:color="auto" w:fill="auto"/>
            <w:vAlign w:val="center"/>
          </w:tcPr>
          <w:p w14:paraId="45E9F828" w14:textId="77777777" w:rsidR="00E26E2E" w:rsidRDefault="00E26E2E" w:rsidP="00E26E2E">
            <w:pPr>
              <w:pStyle w:val="TableTextBase"/>
            </w:pPr>
            <w:r w:rsidRPr="00CE02A5">
              <w:rPr>
                <w:rFonts w:cs="Arial"/>
                <w:color w:val="000000" w:themeColor="text1"/>
              </w:rPr>
              <w:t>Steve Baxter</w:t>
            </w:r>
          </w:p>
        </w:tc>
        <w:tc>
          <w:tcPr>
            <w:tcW w:w="5945" w:type="dxa"/>
            <w:shd w:val="clear" w:color="auto" w:fill="auto"/>
            <w:vAlign w:val="center"/>
          </w:tcPr>
          <w:p w14:paraId="3BE2026E" w14:textId="25DFBD2D" w:rsidR="00E26E2E" w:rsidRDefault="00883033" w:rsidP="00E26E2E">
            <w:pPr>
              <w:pStyle w:val="TableTextBase"/>
            </w:pPr>
            <w:proofErr w:type="spellStart"/>
            <w:r>
              <w:t>Mazars</w:t>
            </w:r>
            <w:proofErr w:type="spellEnd"/>
            <w:r>
              <w:t xml:space="preserve"> (NSW) Pty Limited</w:t>
            </w:r>
          </w:p>
        </w:tc>
      </w:tr>
      <w:tr w:rsidR="00E26E2E" w14:paraId="4C4A852F" w14:textId="77777777" w:rsidTr="00FD5604">
        <w:tc>
          <w:tcPr>
            <w:tcW w:w="2552" w:type="dxa"/>
            <w:shd w:val="clear" w:color="auto" w:fill="auto"/>
            <w:vAlign w:val="center"/>
          </w:tcPr>
          <w:p w14:paraId="2ADB1A1D" w14:textId="77777777" w:rsidR="00E26E2E" w:rsidRDefault="00E26E2E" w:rsidP="00E26E2E">
            <w:pPr>
              <w:pStyle w:val="TableTextBase"/>
            </w:pPr>
            <w:r w:rsidRPr="00CE02A5">
              <w:rPr>
                <w:rFonts w:cs="Arial"/>
                <w:color w:val="000000" w:themeColor="text1"/>
              </w:rPr>
              <w:t xml:space="preserve">Patrick </w:t>
            </w:r>
            <w:proofErr w:type="spellStart"/>
            <w:r w:rsidRPr="00CE02A5">
              <w:rPr>
                <w:rFonts w:cs="Arial"/>
                <w:color w:val="000000" w:themeColor="text1"/>
              </w:rPr>
              <w:t>Broughan</w:t>
            </w:r>
            <w:proofErr w:type="spellEnd"/>
          </w:p>
        </w:tc>
        <w:tc>
          <w:tcPr>
            <w:tcW w:w="5945" w:type="dxa"/>
            <w:shd w:val="clear" w:color="auto" w:fill="auto"/>
            <w:vAlign w:val="center"/>
          </w:tcPr>
          <w:p w14:paraId="3285A653" w14:textId="77777777" w:rsidR="00E26E2E" w:rsidRDefault="00E26E2E" w:rsidP="00E26E2E">
            <w:pPr>
              <w:pStyle w:val="TableTextBase"/>
            </w:pPr>
            <w:r w:rsidRPr="00C33654">
              <w:rPr>
                <w:rFonts w:cs="Arial"/>
                <w:color w:val="000000" w:themeColor="text1"/>
              </w:rPr>
              <w:t>Partner, Deloitte</w:t>
            </w:r>
          </w:p>
        </w:tc>
      </w:tr>
      <w:tr w:rsidR="00E26E2E" w14:paraId="0CE800AC" w14:textId="77777777" w:rsidTr="00FD5604">
        <w:tc>
          <w:tcPr>
            <w:tcW w:w="2552" w:type="dxa"/>
            <w:shd w:val="clear" w:color="auto" w:fill="auto"/>
            <w:vAlign w:val="center"/>
          </w:tcPr>
          <w:p w14:paraId="61E43D68" w14:textId="77777777" w:rsidR="00E26E2E" w:rsidRDefault="00E26E2E" w:rsidP="00E26E2E">
            <w:pPr>
              <w:pStyle w:val="TableTextBase"/>
            </w:pPr>
            <w:r w:rsidRPr="00CE02A5">
              <w:rPr>
                <w:rFonts w:cs="Arial"/>
                <w:color w:val="000000" w:themeColor="text1"/>
              </w:rPr>
              <w:t>Michael Carruthers</w:t>
            </w:r>
          </w:p>
        </w:tc>
        <w:tc>
          <w:tcPr>
            <w:tcW w:w="5945" w:type="dxa"/>
            <w:shd w:val="clear" w:color="auto" w:fill="auto"/>
            <w:vAlign w:val="center"/>
          </w:tcPr>
          <w:p w14:paraId="0C1496C0" w14:textId="77777777" w:rsidR="00E26E2E" w:rsidRDefault="00E26E2E" w:rsidP="00E26E2E">
            <w:pPr>
              <w:pStyle w:val="TableTextBase"/>
            </w:pPr>
            <w:r w:rsidRPr="00C33654">
              <w:rPr>
                <w:rFonts w:cs="Arial"/>
                <w:color w:val="000000" w:themeColor="text1"/>
              </w:rPr>
              <w:t>Tax Director, Knowledge Shop</w:t>
            </w:r>
          </w:p>
        </w:tc>
      </w:tr>
      <w:tr w:rsidR="00E26E2E" w14:paraId="6C37D947" w14:textId="77777777" w:rsidTr="00FD5604">
        <w:tc>
          <w:tcPr>
            <w:tcW w:w="2552" w:type="dxa"/>
            <w:shd w:val="clear" w:color="auto" w:fill="auto"/>
            <w:vAlign w:val="center"/>
          </w:tcPr>
          <w:p w14:paraId="3B6E6D73" w14:textId="77777777" w:rsidR="00E26E2E" w:rsidRDefault="00E26E2E" w:rsidP="00E26E2E">
            <w:pPr>
              <w:pStyle w:val="TableTextBase"/>
            </w:pPr>
            <w:r w:rsidRPr="00CE02A5">
              <w:rPr>
                <w:rFonts w:cs="Arial"/>
                <w:color w:val="000000" w:themeColor="text1"/>
              </w:rPr>
              <w:t>Peter Collins</w:t>
            </w:r>
          </w:p>
        </w:tc>
        <w:tc>
          <w:tcPr>
            <w:tcW w:w="5945" w:type="dxa"/>
            <w:shd w:val="clear" w:color="auto" w:fill="auto"/>
            <w:vAlign w:val="center"/>
          </w:tcPr>
          <w:p w14:paraId="166999A4" w14:textId="77777777" w:rsidR="00E26E2E" w:rsidRDefault="00E26E2E" w:rsidP="00E26E2E">
            <w:pPr>
              <w:pStyle w:val="TableTextBase"/>
            </w:pPr>
            <w:r w:rsidRPr="00C33654">
              <w:rPr>
                <w:rFonts w:cs="Arial"/>
                <w:color w:val="000000" w:themeColor="text1"/>
              </w:rPr>
              <w:t>Partner, PwC</w:t>
            </w:r>
          </w:p>
        </w:tc>
      </w:tr>
      <w:tr w:rsidR="00E26E2E" w14:paraId="24B4C03E" w14:textId="77777777" w:rsidTr="00FD5604">
        <w:tc>
          <w:tcPr>
            <w:tcW w:w="2552" w:type="dxa"/>
            <w:shd w:val="clear" w:color="auto" w:fill="auto"/>
            <w:vAlign w:val="center"/>
          </w:tcPr>
          <w:p w14:paraId="35977B8B" w14:textId="77777777" w:rsidR="00E26E2E" w:rsidRDefault="00E26E2E" w:rsidP="00E26E2E">
            <w:pPr>
              <w:pStyle w:val="TableTextBase"/>
            </w:pPr>
            <w:r w:rsidRPr="00C33654">
              <w:t>Michael Croker</w:t>
            </w:r>
          </w:p>
        </w:tc>
        <w:tc>
          <w:tcPr>
            <w:tcW w:w="5945" w:type="dxa"/>
            <w:shd w:val="clear" w:color="auto" w:fill="auto"/>
            <w:vAlign w:val="center"/>
          </w:tcPr>
          <w:p w14:paraId="0F6B5BFD" w14:textId="77777777" w:rsidR="00E26E2E" w:rsidRDefault="00E26E2E" w:rsidP="00E26E2E">
            <w:pPr>
              <w:pStyle w:val="TableTextBase"/>
            </w:pPr>
            <w:r w:rsidRPr="00C33654">
              <w:rPr>
                <w:rFonts w:cs="Arial"/>
                <w:color w:val="000000" w:themeColor="text1"/>
              </w:rPr>
              <w:t>Tax Leader - Australia, CA</w:t>
            </w:r>
            <w:r>
              <w:rPr>
                <w:rFonts w:cs="Arial"/>
                <w:color w:val="000000" w:themeColor="text1"/>
              </w:rPr>
              <w:t xml:space="preserve"> </w:t>
            </w:r>
            <w:r w:rsidRPr="00C33654">
              <w:rPr>
                <w:rFonts w:cs="Arial"/>
                <w:color w:val="000000" w:themeColor="text1"/>
              </w:rPr>
              <w:t>ANZ</w:t>
            </w:r>
          </w:p>
        </w:tc>
      </w:tr>
      <w:tr w:rsidR="00E26E2E" w14:paraId="57F9F744" w14:textId="77777777" w:rsidTr="00FD5604">
        <w:tc>
          <w:tcPr>
            <w:tcW w:w="2552" w:type="dxa"/>
            <w:shd w:val="clear" w:color="auto" w:fill="auto"/>
            <w:vAlign w:val="center"/>
          </w:tcPr>
          <w:p w14:paraId="453FE15E" w14:textId="77777777" w:rsidR="00E26E2E" w:rsidRDefault="00E26E2E" w:rsidP="00E26E2E">
            <w:pPr>
              <w:pStyle w:val="TableTextBase"/>
            </w:pPr>
            <w:r w:rsidRPr="00C33654">
              <w:t>Jason de Boer</w:t>
            </w:r>
          </w:p>
        </w:tc>
        <w:tc>
          <w:tcPr>
            <w:tcW w:w="5945" w:type="dxa"/>
            <w:shd w:val="clear" w:color="auto" w:fill="auto"/>
            <w:vAlign w:val="center"/>
          </w:tcPr>
          <w:p w14:paraId="3EB59AA1" w14:textId="77777777" w:rsidR="00E26E2E" w:rsidRDefault="00E26E2E" w:rsidP="00E26E2E">
            <w:pPr>
              <w:pStyle w:val="TableTextBase"/>
            </w:pPr>
            <w:r w:rsidRPr="000E63FA">
              <w:rPr>
                <w:rFonts w:cs="Arial"/>
                <w:color w:val="000000" w:themeColor="text1"/>
              </w:rPr>
              <w:t>Partner, BDO</w:t>
            </w:r>
          </w:p>
        </w:tc>
      </w:tr>
      <w:tr w:rsidR="00E26E2E" w14:paraId="697236D8" w14:textId="77777777" w:rsidTr="00FD5604">
        <w:tc>
          <w:tcPr>
            <w:tcW w:w="2552" w:type="dxa"/>
            <w:shd w:val="clear" w:color="auto" w:fill="auto"/>
            <w:vAlign w:val="center"/>
          </w:tcPr>
          <w:p w14:paraId="2B8FD14F" w14:textId="77777777" w:rsidR="00E26E2E" w:rsidRDefault="00E26E2E" w:rsidP="00E26E2E">
            <w:pPr>
              <w:pStyle w:val="TableTextBase"/>
            </w:pPr>
            <w:r w:rsidRPr="00C33654">
              <w:t xml:space="preserve">Philip </w:t>
            </w:r>
            <w:proofErr w:type="spellStart"/>
            <w:r w:rsidRPr="00C33654">
              <w:t>Diviny</w:t>
            </w:r>
            <w:proofErr w:type="spellEnd"/>
          </w:p>
        </w:tc>
        <w:tc>
          <w:tcPr>
            <w:tcW w:w="5945" w:type="dxa"/>
            <w:shd w:val="clear" w:color="auto" w:fill="auto"/>
            <w:vAlign w:val="center"/>
          </w:tcPr>
          <w:p w14:paraId="475D82DD" w14:textId="77777777" w:rsidR="00E26E2E" w:rsidRDefault="00E26E2E" w:rsidP="00E26E2E">
            <w:pPr>
              <w:pStyle w:val="TableTextBase"/>
            </w:pPr>
            <w:r w:rsidRPr="00435560">
              <w:rPr>
                <w:rFonts w:cs="Arial"/>
                <w:color w:val="000000" w:themeColor="text1"/>
              </w:rPr>
              <w:t xml:space="preserve">Partner, </w:t>
            </w:r>
            <w:proofErr w:type="spellStart"/>
            <w:r w:rsidRPr="00435560">
              <w:rPr>
                <w:rFonts w:cs="Arial"/>
                <w:color w:val="000000" w:themeColor="text1"/>
              </w:rPr>
              <w:t>Madgwicks</w:t>
            </w:r>
            <w:proofErr w:type="spellEnd"/>
          </w:p>
        </w:tc>
      </w:tr>
      <w:tr w:rsidR="00E26E2E" w14:paraId="3CB8F300" w14:textId="77777777" w:rsidTr="00FD5604">
        <w:tc>
          <w:tcPr>
            <w:tcW w:w="2552" w:type="dxa"/>
            <w:shd w:val="clear" w:color="auto" w:fill="auto"/>
            <w:vAlign w:val="center"/>
          </w:tcPr>
          <w:p w14:paraId="5DAEDF26" w14:textId="77777777" w:rsidR="00E26E2E" w:rsidRDefault="00E26E2E" w:rsidP="00E26E2E">
            <w:pPr>
              <w:pStyle w:val="TableTextBase"/>
            </w:pPr>
            <w:r w:rsidRPr="00C33654">
              <w:t>Teresa Dyson</w:t>
            </w:r>
          </w:p>
        </w:tc>
        <w:tc>
          <w:tcPr>
            <w:tcW w:w="5945" w:type="dxa"/>
            <w:shd w:val="clear" w:color="auto" w:fill="auto"/>
            <w:vAlign w:val="center"/>
          </w:tcPr>
          <w:p w14:paraId="18B3971D" w14:textId="77777777" w:rsidR="00E26E2E" w:rsidRDefault="00E26E2E" w:rsidP="00E26E2E">
            <w:pPr>
              <w:pStyle w:val="TableTextBase"/>
            </w:pPr>
            <w:r w:rsidRPr="0029440C">
              <w:rPr>
                <w:rFonts w:ascii="Arial" w:hAnsi="Arial" w:cs="Arial"/>
                <w:color w:val="000000" w:themeColor="text1"/>
                <w:sz w:val="18"/>
                <w:szCs w:val="21"/>
              </w:rPr>
              <w:t>Consultant, McCullough Robertson</w:t>
            </w:r>
          </w:p>
        </w:tc>
      </w:tr>
      <w:tr w:rsidR="00E26E2E" w14:paraId="156F371B" w14:textId="77777777" w:rsidTr="00FD5604">
        <w:tc>
          <w:tcPr>
            <w:tcW w:w="2552" w:type="dxa"/>
            <w:shd w:val="clear" w:color="auto" w:fill="auto"/>
            <w:vAlign w:val="center"/>
          </w:tcPr>
          <w:p w14:paraId="1E4F1B12" w14:textId="77777777" w:rsidR="00E26E2E" w:rsidRDefault="00E26E2E" w:rsidP="00E26E2E">
            <w:pPr>
              <w:pStyle w:val="TableTextBase"/>
            </w:pPr>
            <w:r w:rsidRPr="00C33654">
              <w:t xml:space="preserve">Michael </w:t>
            </w:r>
            <w:proofErr w:type="spellStart"/>
            <w:r w:rsidRPr="00C33654">
              <w:t>Fenner</w:t>
            </w:r>
            <w:proofErr w:type="spellEnd"/>
          </w:p>
        </w:tc>
        <w:tc>
          <w:tcPr>
            <w:tcW w:w="5945" w:type="dxa"/>
            <w:shd w:val="clear" w:color="auto" w:fill="auto"/>
            <w:vAlign w:val="center"/>
          </w:tcPr>
          <w:p w14:paraId="5BCE53BC" w14:textId="77777777" w:rsidR="00E26E2E" w:rsidRDefault="00E26E2E" w:rsidP="00E26E2E">
            <w:pPr>
              <w:pStyle w:val="TableTextBase"/>
            </w:pPr>
            <w:r w:rsidRPr="000E63FA">
              <w:t>Taxation Manager, Chevron</w:t>
            </w:r>
          </w:p>
        </w:tc>
      </w:tr>
      <w:tr w:rsidR="00E26E2E" w14:paraId="2B1B2041" w14:textId="77777777" w:rsidTr="00FD5604">
        <w:tc>
          <w:tcPr>
            <w:tcW w:w="2552" w:type="dxa"/>
            <w:shd w:val="clear" w:color="auto" w:fill="auto"/>
            <w:vAlign w:val="center"/>
          </w:tcPr>
          <w:p w14:paraId="66A1B82F" w14:textId="77777777" w:rsidR="00E26E2E" w:rsidRDefault="00E26E2E" w:rsidP="00E26E2E">
            <w:pPr>
              <w:pStyle w:val="TableTextBase"/>
            </w:pPr>
            <w:r w:rsidRPr="00C33654">
              <w:t>Mark Ferrier</w:t>
            </w:r>
          </w:p>
        </w:tc>
        <w:tc>
          <w:tcPr>
            <w:tcW w:w="5945" w:type="dxa"/>
            <w:shd w:val="clear" w:color="auto" w:fill="auto"/>
            <w:vAlign w:val="center"/>
          </w:tcPr>
          <w:p w14:paraId="6523D7D0" w14:textId="77777777" w:rsidR="00E26E2E" w:rsidRDefault="00E26E2E" w:rsidP="00E26E2E">
            <w:pPr>
              <w:pStyle w:val="TableTextBase"/>
            </w:pPr>
            <w:r w:rsidRPr="000E63FA">
              <w:t>Executive Director, Macquarie Group</w:t>
            </w:r>
          </w:p>
        </w:tc>
      </w:tr>
      <w:tr w:rsidR="00E26E2E" w14:paraId="6151B534" w14:textId="77777777" w:rsidTr="00FD5604">
        <w:tc>
          <w:tcPr>
            <w:tcW w:w="2552" w:type="dxa"/>
            <w:shd w:val="clear" w:color="auto" w:fill="auto"/>
            <w:vAlign w:val="center"/>
          </w:tcPr>
          <w:p w14:paraId="4AB12159" w14:textId="77777777" w:rsidR="00E26E2E" w:rsidRDefault="00E26E2E" w:rsidP="00E26E2E">
            <w:pPr>
              <w:pStyle w:val="TableTextBase"/>
            </w:pPr>
            <w:r w:rsidRPr="00C33654">
              <w:t>Michael Flynn QC</w:t>
            </w:r>
          </w:p>
        </w:tc>
        <w:tc>
          <w:tcPr>
            <w:tcW w:w="5945" w:type="dxa"/>
            <w:shd w:val="clear" w:color="auto" w:fill="auto"/>
            <w:vAlign w:val="center"/>
          </w:tcPr>
          <w:p w14:paraId="085934F8" w14:textId="77777777" w:rsidR="00E26E2E" w:rsidRDefault="00E26E2E" w:rsidP="00E26E2E">
            <w:pPr>
              <w:pStyle w:val="TableTextBase"/>
            </w:pPr>
            <w:r w:rsidRPr="000E63FA">
              <w:t>Barrister, Victorian Bar</w:t>
            </w:r>
          </w:p>
        </w:tc>
      </w:tr>
      <w:tr w:rsidR="00E26E2E" w14:paraId="5F2661FE" w14:textId="77777777" w:rsidTr="00FD5604">
        <w:tc>
          <w:tcPr>
            <w:tcW w:w="2552" w:type="dxa"/>
            <w:shd w:val="clear" w:color="auto" w:fill="auto"/>
            <w:vAlign w:val="center"/>
          </w:tcPr>
          <w:p w14:paraId="16A1850D" w14:textId="77777777" w:rsidR="00E26E2E" w:rsidRDefault="00E26E2E" w:rsidP="00E26E2E">
            <w:pPr>
              <w:pStyle w:val="TableTextBase"/>
            </w:pPr>
            <w:proofErr w:type="spellStart"/>
            <w:r w:rsidRPr="00356C18">
              <w:t>Geofrey</w:t>
            </w:r>
            <w:proofErr w:type="spellEnd"/>
            <w:r w:rsidRPr="00356C18">
              <w:t xml:space="preserve"> </w:t>
            </w:r>
            <w:proofErr w:type="spellStart"/>
            <w:r w:rsidRPr="00356C18">
              <w:t>Fooks</w:t>
            </w:r>
            <w:proofErr w:type="spellEnd"/>
          </w:p>
        </w:tc>
        <w:tc>
          <w:tcPr>
            <w:tcW w:w="5945" w:type="dxa"/>
            <w:shd w:val="clear" w:color="auto" w:fill="auto"/>
            <w:vAlign w:val="center"/>
          </w:tcPr>
          <w:p w14:paraId="4D7A128C" w14:textId="77777777" w:rsidR="00E26E2E" w:rsidRDefault="00E26E2E" w:rsidP="00E26E2E">
            <w:pPr>
              <w:pStyle w:val="TableTextBase"/>
            </w:pPr>
            <w:r w:rsidRPr="00356C18">
              <w:t>General Manager, Group Taxation, Wesfarmers</w:t>
            </w:r>
          </w:p>
        </w:tc>
      </w:tr>
      <w:tr w:rsidR="00E26E2E" w14:paraId="2E8FB605" w14:textId="77777777" w:rsidTr="00FD5604">
        <w:tc>
          <w:tcPr>
            <w:tcW w:w="2552" w:type="dxa"/>
            <w:shd w:val="clear" w:color="auto" w:fill="auto"/>
            <w:vAlign w:val="center"/>
          </w:tcPr>
          <w:p w14:paraId="5E8A4502" w14:textId="77777777" w:rsidR="00E26E2E" w:rsidRDefault="00E26E2E" w:rsidP="00E26E2E">
            <w:pPr>
              <w:pStyle w:val="TableTextBase"/>
            </w:pPr>
            <w:r w:rsidRPr="00356C18">
              <w:t>Steve Ford</w:t>
            </w:r>
          </w:p>
        </w:tc>
        <w:tc>
          <w:tcPr>
            <w:tcW w:w="5945" w:type="dxa"/>
            <w:shd w:val="clear" w:color="auto" w:fill="auto"/>
            <w:vAlign w:val="center"/>
          </w:tcPr>
          <w:p w14:paraId="7986419A" w14:textId="77777777" w:rsidR="00E26E2E" w:rsidRDefault="00E26E2E" w:rsidP="00E26E2E">
            <w:pPr>
              <w:pStyle w:val="TableTextBase"/>
            </w:pPr>
            <w:r w:rsidRPr="00356C18">
              <w:t>Partner, PwC</w:t>
            </w:r>
          </w:p>
        </w:tc>
      </w:tr>
      <w:tr w:rsidR="00E26E2E" w14:paraId="2213BE86" w14:textId="77777777" w:rsidTr="00FD5604">
        <w:tc>
          <w:tcPr>
            <w:tcW w:w="2552" w:type="dxa"/>
            <w:shd w:val="clear" w:color="auto" w:fill="auto"/>
            <w:vAlign w:val="center"/>
          </w:tcPr>
          <w:p w14:paraId="5A46A812" w14:textId="77777777" w:rsidR="00E26E2E" w:rsidRDefault="00E26E2E" w:rsidP="00E26E2E">
            <w:pPr>
              <w:pStyle w:val="TableTextBase"/>
            </w:pPr>
            <w:r w:rsidRPr="00356C18">
              <w:t>Brett Freudenberg</w:t>
            </w:r>
          </w:p>
        </w:tc>
        <w:tc>
          <w:tcPr>
            <w:tcW w:w="5945" w:type="dxa"/>
            <w:shd w:val="clear" w:color="auto" w:fill="auto"/>
            <w:vAlign w:val="center"/>
          </w:tcPr>
          <w:p w14:paraId="63AA949A" w14:textId="77777777" w:rsidR="00E26E2E" w:rsidRDefault="00E26E2E" w:rsidP="00E26E2E">
            <w:pPr>
              <w:pStyle w:val="TableTextBase"/>
            </w:pPr>
            <w:r w:rsidRPr="00356C18">
              <w:t>Professor — Taxation, Griffith University</w:t>
            </w:r>
          </w:p>
        </w:tc>
      </w:tr>
      <w:tr w:rsidR="00E26E2E" w14:paraId="21F422EA" w14:textId="77777777" w:rsidTr="00FD5604">
        <w:tc>
          <w:tcPr>
            <w:tcW w:w="2552" w:type="dxa"/>
            <w:shd w:val="clear" w:color="auto" w:fill="auto"/>
            <w:vAlign w:val="center"/>
          </w:tcPr>
          <w:p w14:paraId="3B5F57AD" w14:textId="77777777" w:rsidR="00E26E2E" w:rsidRDefault="00E26E2E" w:rsidP="00E26E2E">
            <w:pPr>
              <w:pStyle w:val="TableTextBase"/>
            </w:pPr>
            <w:r w:rsidRPr="00356C18">
              <w:t>Heather Gray</w:t>
            </w:r>
          </w:p>
        </w:tc>
        <w:tc>
          <w:tcPr>
            <w:tcW w:w="5945" w:type="dxa"/>
            <w:shd w:val="clear" w:color="auto" w:fill="auto"/>
            <w:vAlign w:val="center"/>
          </w:tcPr>
          <w:p w14:paraId="53B355EC" w14:textId="77777777" w:rsidR="00E26E2E" w:rsidRDefault="00E26E2E" w:rsidP="00E26E2E">
            <w:pPr>
              <w:pStyle w:val="TableTextBase"/>
            </w:pPr>
            <w:r w:rsidRPr="00356C18">
              <w:t>Partner, Hall &amp; Wilcox Lawyers</w:t>
            </w:r>
          </w:p>
        </w:tc>
      </w:tr>
      <w:tr w:rsidR="00E26E2E" w14:paraId="1F70CA75" w14:textId="77777777" w:rsidTr="00FD5604">
        <w:tc>
          <w:tcPr>
            <w:tcW w:w="2552" w:type="dxa"/>
            <w:shd w:val="clear" w:color="auto" w:fill="auto"/>
            <w:vAlign w:val="center"/>
          </w:tcPr>
          <w:p w14:paraId="2DEC3F3B" w14:textId="77777777" w:rsidR="00E26E2E" w:rsidRDefault="00E26E2E" w:rsidP="00E26E2E">
            <w:pPr>
              <w:pStyle w:val="TableTextBase"/>
            </w:pPr>
            <w:r w:rsidRPr="00356C18">
              <w:t>Kevin Griffiths</w:t>
            </w:r>
          </w:p>
        </w:tc>
        <w:tc>
          <w:tcPr>
            <w:tcW w:w="5945" w:type="dxa"/>
            <w:shd w:val="clear" w:color="auto" w:fill="auto"/>
            <w:vAlign w:val="center"/>
          </w:tcPr>
          <w:p w14:paraId="5B427434" w14:textId="77777777" w:rsidR="00E26E2E" w:rsidRDefault="00E26E2E" w:rsidP="00E26E2E">
            <w:pPr>
              <w:pStyle w:val="TableTextBase"/>
            </w:pPr>
            <w:r>
              <w:t>Leader Tax Division</w:t>
            </w:r>
            <w:r w:rsidRPr="00356C18">
              <w:t>, EY</w:t>
            </w:r>
          </w:p>
        </w:tc>
      </w:tr>
      <w:tr w:rsidR="00E26E2E" w14:paraId="122F73EB" w14:textId="77777777" w:rsidTr="00FD5604">
        <w:tc>
          <w:tcPr>
            <w:tcW w:w="2552" w:type="dxa"/>
            <w:shd w:val="clear" w:color="auto" w:fill="auto"/>
            <w:vAlign w:val="center"/>
          </w:tcPr>
          <w:p w14:paraId="45139CA2" w14:textId="77777777" w:rsidR="00E26E2E" w:rsidRDefault="00E26E2E" w:rsidP="00E26E2E">
            <w:pPr>
              <w:pStyle w:val="TableTextBase"/>
            </w:pPr>
            <w:r w:rsidRPr="00356C18">
              <w:t>Tony Greco</w:t>
            </w:r>
          </w:p>
        </w:tc>
        <w:tc>
          <w:tcPr>
            <w:tcW w:w="5945" w:type="dxa"/>
            <w:shd w:val="clear" w:color="auto" w:fill="auto"/>
            <w:vAlign w:val="center"/>
          </w:tcPr>
          <w:p w14:paraId="1C6CBA30" w14:textId="77777777" w:rsidR="00E26E2E" w:rsidRDefault="00E26E2E" w:rsidP="00E26E2E">
            <w:pPr>
              <w:pStyle w:val="TableTextBase"/>
            </w:pPr>
            <w:r w:rsidRPr="0078594C">
              <w:t>Senior Tax Adviser, Institute of Public Accountants</w:t>
            </w:r>
          </w:p>
        </w:tc>
      </w:tr>
      <w:tr w:rsidR="00E26E2E" w14:paraId="3CF2D60F" w14:textId="77777777" w:rsidTr="00FD5604">
        <w:tc>
          <w:tcPr>
            <w:tcW w:w="2552" w:type="dxa"/>
            <w:shd w:val="clear" w:color="auto" w:fill="auto"/>
            <w:vAlign w:val="center"/>
          </w:tcPr>
          <w:p w14:paraId="417EC5DA" w14:textId="77777777" w:rsidR="00E26E2E" w:rsidRDefault="00E26E2E" w:rsidP="00E26E2E">
            <w:pPr>
              <w:pStyle w:val="TableTextBase"/>
            </w:pPr>
            <w:r w:rsidRPr="00356C18">
              <w:t>Matt Hayes</w:t>
            </w:r>
          </w:p>
        </w:tc>
        <w:tc>
          <w:tcPr>
            <w:tcW w:w="5945" w:type="dxa"/>
            <w:shd w:val="clear" w:color="auto" w:fill="auto"/>
            <w:vAlign w:val="center"/>
          </w:tcPr>
          <w:p w14:paraId="377920FA" w14:textId="77777777" w:rsidR="00E26E2E" w:rsidRDefault="00E26E2E" w:rsidP="00E26E2E">
            <w:pPr>
              <w:pStyle w:val="TableTextBase"/>
            </w:pPr>
            <w:r w:rsidRPr="0078594C">
              <w:t>Director — Tax, KPMG</w:t>
            </w:r>
          </w:p>
        </w:tc>
      </w:tr>
      <w:tr w:rsidR="00E26E2E" w14:paraId="0767BEEC" w14:textId="77777777" w:rsidTr="00FD5604">
        <w:tc>
          <w:tcPr>
            <w:tcW w:w="2552" w:type="dxa"/>
            <w:shd w:val="clear" w:color="auto" w:fill="auto"/>
            <w:vAlign w:val="center"/>
          </w:tcPr>
          <w:p w14:paraId="4B0AE2FA" w14:textId="77777777" w:rsidR="00E26E2E" w:rsidRDefault="00E26E2E" w:rsidP="00E26E2E">
            <w:pPr>
              <w:pStyle w:val="TableTextBase"/>
            </w:pPr>
            <w:r w:rsidRPr="00356C18">
              <w:t>Stephen Healey</w:t>
            </w:r>
          </w:p>
        </w:tc>
        <w:tc>
          <w:tcPr>
            <w:tcW w:w="5945" w:type="dxa"/>
            <w:shd w:val="clear" w:color="auto" w:fill="auto"/>
            <w:vAlign w:val="center"/>
          </w:tcPr>
          <w:p w14:paraId="7BB26F60" w14:textId="77777777" w:rsidR="00E26E2E" w:rsidRDefault="00E26E2E" w:rsidP="00E26E2E">
            <w:pPr>
              <w:pStyle w:val="TableTextBase"/>
            </w:pPr>
            <w:r w:rsidRPr="0078594C">
              <w:t>Partner, RSM</w:t>
            </w:r>
          </w:p>
        </w:tc>
      </w:tr>
      <w:tr w:rsidR="00E26E2E" w14:paraId="7762CBCE" w14:textId="77777777" w:rsidTr="00FD5604">
        <w:tc>
          <w:tcPr>
            <w:tcW w:w="2552" w:type="dxa"/>
            <w:shd w:val="clear" w:color="auto" w:fill="auto"/>
            <w:vAlign w:val="center"/>
          </w:tcPr>
          <w:p w14:paraId="32141FC1" w14:textId="77777777" w:rsidR="00E26E2E" w:rsidRDefault="00E26E2E" w:rsidP="00E26E2E">
            <w:pPr>
              <w:pStyle w:val="TableTextBase"/>
            </w:pPr>
            <w:r w:rsidRPr="00356C18">
              <w:t>Paul Hooper</w:t>
            </w:r>
          </w:p>
        </w:tc>
        <w:tc>
          <w:tcPr>
            <w:tcW w:w="5945" w:type="dxa"/>
            <w:shd w:val="clear" w:color="auto" w:fill="auto"/>
            <w:vAlign w:val="center"/>
          </w:tcPr>
          <w:p w14:paraId="4912F58C" w14:textId="77777777" w:rsidR="00E26E2E" w:rsidRDefault="00E26E2E" w:rsidP="00E26E2E">
            <w:pPr>
              <w:pStyle w:val="TableTextBase"/>
            </w:pPr>
            <w:r w:rsidRPr="0078594C">
              <w:t>Group Head of Tax, Lend Lease</w:t>
            </w:r>
          </w:p>
        </w:tc>
      </w:tr>
      <w:tr w:rsidR="00E26E2E" w14:paraId="3544A513" w14:textId="77777777" w:rsidTr="00FD5604">
        <w:tc>
          <w:tcPr>
            <w:tcW w:w="2552" w:type="dxa"/>
            <w:shd w:val="clear" w:color="auto" w:fill="auto"/>
            <w:vAlign w:val="center"/>
          </w:tcPr>
          <w:p w14:paraId="243196C6" w14:textId="77777777" w:rsidR="00E26E2E" w:rsidRDefault="00E26E2E" w:rsidP="00E26E2E">
            <w:pPr>
              <w:pStyle w:val="TableTextBase"/>
            </w:pPr>
            <w:r w:rsidRPr="00356C18">
              <w:t>Nick Houseman</w:t>
            </w:r>
          </w:p>
        </w:tc>
        <w:tc>
          <w:tcPr>
            <w:tcW w:w="5945" w:type="dxa"/>
            <w:shd w:val="clear" w:color="auto" w:fill="auto"/>
            <w:vAlign w:val="center"/>
          </w:tcPr>
          <w:p w14:paraId="1D71E400" w14:textId="77777777" w:rsidR="00E26E2E" w:rsidRDefault="00E26E2E" w:rsidP="00E26E2E">
            <w:pPr>
              <w:pStyle w:val="TableTextBase"/>
            </w:pPr>
            <w:r w:rsidRPr="0078594C">
              <w:t>Australian Transfer Pricing Leader, PwC</w:t>
            </w:r>
          </w:p>
        </w:tc>
      </w:tr>
      <w:tr w:rsidR="00E26E2E" w14:paraId="62A8F113" w14:textId="77777777" w:rsidTr="00FD5604">
        <w:tc>
          <w:tcPr>
            <w:tcW w:w="2552" w:type="dxa"/>
            <w:shd w:val="clear" w:color="auto" w:fill="auto"/>
            <w:vAlign w:val="center"/>
          </w:tcPr>
          <w:p w14:paraId="257D91E9" w14:textId="77777777" w:rsidR="00E26E2E" w:rsidRDefault="00E26E2E" w:rsidP="00E26E2E">
            <w:pPr>
              <w:pStyle w:val="TableTextBase"/>
            </w:pPr>
            <w:r w:rsidRPr="00356C18">
              <w:t xml:space="preserve">Peter </w:t>
            </w:r>
            <w:proofErr w:type="spellStart"/>
            <w:r w:rsidRPr="00356C18">
              <w:t>Janetzki</w:t>
            </w:r>
            <w:proofErr w:type="spellEnd"/>
          </w:p>
        </w:tc>
        <w:tc>
          <w:tcPr>
            <w:tcW w:w="5945" w:type="dxa"/>
            <w:shd w:val="clear" w:color="auto" w:fill="auto"/>
            <w:vAlign w:val="center"/>
          </w:tcPr>
          <w:p w14:paraId="5D536079" w14:textId="77777777" w:rsidR="00E26E2E" w:rsidRDefault="00E26E2E" w:rsidP="00E26E2E">
            <w:pPr>
              <w:pStyle w:val="TableTextBase"/>
            </w:pPr>
            <w:r w:rsidRPr="0078594C">
              <w:t>Partner, EY</w:t>
            </w:r>
          </w:p>
        </w:tc>
      </w:tr>
      <w:tr w:rsidR="00E26E2E" w14:paraId="10FDE02C" w14:textId="77777777" w:rsidTr="00FD5604">
        <w:tc>
          <w:tcPr>
            <w:tcW w:w="2552" w:type="dxa"/>
            <w:shd w:val="clear" w:color="auto" w:fill="auto"/>
            <w:vAlign w:val="center"/>
          </w:tcPr>
          <w:p w14:paraId="06354E0E" w14:textId="77777777" w:rsidR="00E26E2E" w:rsidRDefault="00E26E2E" w:rsidP="00E26E2E">
            <w:pPr>
              <w:pStyle w:val="TableTextBase"/>
            </w:pPr>
            <w:r w:rsidRPr="00356C18">
              <w:t>Anthony Klein</w:t>
            </w:r>
          </w:p>
        </w:tc>
        <w:tc>
          <w:tcPr>
            <w:tcW w:w="5945" w:type="dxa"/>
            <w:shd w:val="clear" w:color="auto" w:fill="auto"/>
            <w:vAlign w:val="center"/>
          </w:tcPr>
          <w:p w14:paraId="460034FE" w14:textId="77777777" w:rsidR="00E26E2E" w:rsidRDefault="00E26E2E" w:rsidP="00E26E2E">
            <w:pPr>
              <w:pStyle w:val="TableTextBase"/>
            </w:pPr>
            <w:r w:rsidRPr="0078594C">
              <w:t>Partner, PwC</w:t>
            </w:r>
          </w:p>
        </w:tc>
      </w:tr>
      <w:tr w:rsidR="00E26E2E" w14:paraId="4CE76B2F" w14:textId="77777777" w:rsidTr="00FD5604">
        <w:tc>
          <w:tcPr>
            <w:tcW w:w="2552" w:type="dxa"/>
            <w:shd w:val="clear" w:color="auto" w:fill="auto"/>
            <w:vAlign w:val="center"/>
          </w:tcPr>
          <w:p w14:paraId="768DC109" w14:textId="77777777" w:rsidR="00E26E2E" w:rsidRDefault="00E26E2E" w:rsidP="00E26E2E">
            <w:pPr>
              <w:pStyle w:val="TableTextBase"/>
            </w:pPr>
            <w:r w:rsidRPr="00E75461">
              <w:t>Jasmine Leonard</w:t>
            </w:r>
          </w:p>
        </w:tc>
        <w:tc>
          <w:tcPr>
            <w:tcW w:w="5945" w:type="dxa"/>
            <w:shd w:val="clear" w:color="auto" w:fill="auto"/>
            <w:vAlign w:val="center"/>
          </w:tcPr>
          <w:p w14:paraId="37337A4B" w14:textId="77777777" w:rsidR="00E26E2E" w:rsidRDefault="00E26E2E" w:rsidP="00E26E2E">
            <w:pPr>
              <w:pStyle w:val="TableTextBase"/>
            </w:pPr>
            <w:r w:rsidRPr="00E75461">
              <w:t>General Manager — Global Tax Advisory, Rio Tinto</w:t>
            </w:r>
          </w:p>
        </w:tc>
      </w:tr>
      <w:tr w:rsidR="00E26E2E" w14:paraId="22463EB6" w14:textId="77777777" w:rsidTr="00FD5604">
        <w:tc>
          <w:tcPr>
            <w:tcW w:w="2552" w:type="dxa"/>
            <w:shd w:val="clear" w:color="auto" w:fill="auto"/>
            <w:vAlign w:val="center"/>
          </w:tcPr>
          <w:p w14:paraId="6507BF0A" w14:textId="77777777" w:rsidR="00E26E2E" w:rsidRDefault="00E26E2E" w:rsidP="00E26E2E">
            <w:pPr>
              <w:pStyle w:val="TableTextBase"/>
            </w:pPr>
            <w:r w:rsidRPr="00E75461">
              <w:t>Adam Levin</w:t>
            </w:r>
          </w:p>
        </w:tc>
        <w:tc>
          <w:tcPr>
            <w:tcW w:w="5945" w:type="dxa"/>
            <w:shd w:val="clear" w:color="auto" w:fill="auto"/>
            <w:vAlign w:val="center"/>
          </w:tcPr>
          <w:p w14:paraId="7538E215" w14:textId="77777777" w:rsidR="00E26E2E" w:rsidRDefault="00E26E2E" w:rsidP="00E26E2E">
            <w:pPr>
              <w:pStyle w:val="TableTextBase"/>
            </w:pPr>
            <w:r w:rsidRPr="00E75461">
              <w:t>Partner, Jackson McDonald Lawyers</w:t>
            </w:r>
          </w:p>
        </w:tc>
      </w:tr>
      <w:tr w:rsidR="00E26E2E" w14:paraId="4A812FDE" w14:textId="77777777" w:rsidTr="00FD5604">
        <w:tc>
          <w:tcPr>
            <w:tcW w:w="2552" w:type="dxa"/>
            <w:shd w:val="clear" w:color="auto" w:fill="auto"/>
            <w:vAlign w:val="center"/>
          </w:tcPr>
          <w:p w14:paraId="7BE081FD" w14:textId="77777777" w:rsidR="00E26E2E" w:rsidRDefault="00E26E2E" w:rsidP="00E26E2E">
            <w:pPr>
              <w:pStyle w:val="TableTextBase"/>
            </w:pPr>
            <w:r w:rsidRPr="00E75461">
              <w:t xml:space="preserve">Michael </w:t>
            </w:r>
            <w:proofErr w:type="spellStart"/>
            <w:r w:rsidRPr="00E75461">
              <w:t>Longes</w:t>
            </w:r>
            <w:proofErr w:type="spellEnd"/>
          </w:p>
        </w:tc>
        <w:tc>
          <w:tcPr>
            <w:tcW w:w="5945" w:type="dxa"/>
            <w:shd w:val="clear" w:color="auto" w:fill="auto"/>
            <w:vAlign w:val="center"/>
          </w:tcPr>
          <w:p w14:paraId="6EE7B7C0" w14:textId="77777777" w:rsidR="00E26E2E" w:rsidRDefault="00E26E2E" w:rsidP="00E26E2E">
            <w:pPr>
              <w:pStyle w:val="TableTextBase"/>
            </w:pPr>
            <w:r w:rsidRPr="00E75461">
              <w:t xml:space="preserve">Tax Manager, </w:t>
            </w:r>
            <w:proofErr w:type="spellStart"/>
            <w:r w:rsidRPr="00E75461">
              <w:t>Sunsuper</w:t>
            </w:r>
            <w:proofErr w:type="spellEnd"/>
            <w:r w:rsidRPr="00E75461">
              <w:t xml:space="preserve"> Pty Ltd</w:t>
            </w:r>
          </w:p>
        </w:tc>
      </w:tr>
      <w:tr w:rsidR="00E26E2E" w14:paraId="3CDD1C07" w14:textId="77777777" w:rsidTr="00FD5604">
        <w:tc>
          <w:tcPr>
            <w:tcW w:w="2552" w:type="dxa"/>
            <w:shd w:val="clear" w:color="auto" w:fill="auto"/>
            <w:vAlign w:val="center"/>
          </w:tcPr>
          <w:p w14:paraId="59163FDF" w14:textId="77777777" w:rsidR="00E26E2E" w:rsidRDefault="00E26E2E" w:rsidP="00E26E2E">
            <w:pPr>
              <w:pStyle w:val="TableTextBase"/>
            </w:pPr>
            <w:r w:rsidRPr="00CF6345">
              <w:t xml:space="preserve">Alia </w:t>
            </w:r>
            <w:proofErr w:type="spellStart"/>
            <w:r w:rsidRPr="00CF6345">
              <w:t>Lum</w:t>
            </w:r>
            <w:proofErr w:type="spellEnd"/>
          </w:p>
        </w:tc>
        <w:tc>
          <w:tcPr>
            <w:tcW w:w="5945" w:type="dxa"/>
            <w:shd w:val="clear" w:color="auto" w:fill="auto"/>
            <w:vAlign w:val="center"/>
          </w:tcPr>
          <w:p w14:paraId="459D4140" w14:textId="77777777" w:rsidR="00E26E2E" w:rsidRDefault="00E26E2E" w:rsidP="00E26E2E">
            <w:pPr>
              <w:pStyle w:val="TableTextBase"/>
            </w:pPr>
            <w:r w:rsidRPr="00CF6345">
              <w:t>Partner, KPMG</w:t>
            </w:r>
          </w:p>
        </w:tc>
      </w:tr>
      <w:tr w:rsidR="00E26E2E" w14:paraId="4FE7BFC3" w14:textId="77777777" w:rsidTr="00FD5604">
        <w:tc>
          <w:tcPr>
            <w:tcW w:w="2552" w:type="dxa"/>
            <w:shd w:val="clear" w:color="auto" w:fill="auto"/>
            <w:vAlign w:val="center"/>
          </w:tcPr>
          <w:p w14:paraId="098901FA" w14:textId="77777777" w:rsidR="00E26E2E" w:rsidRDefault="00E26E2E" w:rsidP="00E26E2E">
            <w:pPr>
              <w:pStyle w:val="TableTextBase"/>
            </w:pPr>
            <w:r w:rsidRPr="00CF6345">
              <w:t xml:space="preserve">James </w:t>
            </w:r>
            <w:proofErr w:type="spellStart"/>
            <w:r w:rsidRPr="00CF6345">
              <w:t>Macky</w:t>
            </w:r>
            <w:proofErr w:type="spellEnd"/>
          </w:p>
        </w:tc>
        <w:tc>
          <w:tcPr>
            <w:tcW w:w="5945" w:type="dxa"/>
            <w:shd w:val="clear" w:color="auto" w:fill="auto"/>
            <w:vAlign w:val="center"/>
          </w:tcPr>
          <w:p w14:paraId="681D8798" w14:textId="77777777" w:rsidR="00E26E2E" w:rsidRDefault="00E26E2E" w:rsidP="00E26E2E">
            <w:pPr>
              <w:pStyle w:val="TableTextBase"/>
            </w:pPr>
            <w:r w:rsidRPr="00CF6345">
              <w:t>Partner, Corporate Tax, KPMG</w:t>
            </w:r>
          </w:p>
        </w:tc>
      </w:tr>
      <w:tr w:rsidR="00E26E2E" w14:paraId="4BE2B538" w14:textId="77777777" w:rsidTr="00FD5604">
        <w:tc>
          <w:tcPr>
            <w:tcW w:w="2552" w:type="dxa"/>
            <w:shd w:val="clear" w:color="auto" w:fill="auto"/>
            <w:vAlign w:val="center"/>
          </w:tcPr>
          <w:p w14:paraId="08B48B1D" w14:textId="77777777" w:rsidR="00E26E2E" w:rsidRDefault="00E26E2E" w:rsidP="00E26E2E">
            <w:pPr>
              <w:pStyle w:val="TableTextBase"/>
            </w:pPr>
            <w:r w:rsidRPr="00CF6345">
              <w:t xml:space="preserve">Larry </w:t>
            </w:r>
            <w:proofErr w:type="spellStart"/>
            <w:r w:rsidRPr="00CF6345">
              <w:t>Magid</w:t>
            </w:r>
            <w:proofErr w:type="spellEnd"/>
          </w:p>
        </w:tc>
        <w:tc>
          <w:tcPr>
            <w:tcW w:w="5945" w:type="dxa"/>
            <w:shd w:val="clear" w:color="auto" w:fill="auto"/>
            <w:vAlign w:val="center"/>
          </w:tcPr>
          <w:p w14:paraId="114980E6" w14:textId="77777777" w:rsidR="00E26E2E" w:rsidRDefault="00E26E2E" w:rsidP="00E26E2E">
            <w:pPr>
              <w:pStyle w:val="TableTextBase"/>
            </w:pPr>
            <w:r w:rsidRPr="00CF6345">
              <w:t xml:space="preserve">Consultant, </w:t>
            </w:r>
            <w:proofErr w:type="spellStart"/>
            <w:r w:rsidRPr="00CF6345">
              <w:t>Allens</w:t>
            </w:r>
            <w:proofErr w:type="spellEnd"/>
          </w:p>
        </w:tc>
      </w:tr>
      <w:tr w:rsidR="00E26E2E" w14:paraId="7F5B6E54" w14:textId="77777777" w:rsidTr="00FD5604">
        <w:tc>
          <w:tcPr>
            <w:tcW w:w="2552" w:type="dxa"/>
            <w:shd w:val="clear" w:color="auto" w:fill="auto"/>
            <w:vAlign w:val="center"/>
          </w:tcPr>
          <w:p w14:paraId="534F11FD" w14:textId="77777777" w:rsidR="00E26E2E" w:rsidRDefault="00E26E2E" w:rsidP="00E26E2E">
            <w:pPr>
              <w:pStyle w:val="TableTextBase"/>
            </w:pPr>
            <w:r w:rsidRPr="00E734CF">
              <w:t xml:space="preserve">Jane </w:t>
            </w:r>
            <w:proofErr w:type="spellStart"/>
            <w:r w:rsidRPr="00E734CF">
              <w:t>Michie</w:t>
            </w:r>
            <w:proofErr w:type="spellEnd"/>
          </w:p>
        </w:tc>
        <w:tc>
          <w:tcPr>
            <w:tcW w:w="5945" w:type="dxa"/>
            <w:shd w:val="clear" w:color="auto" w:fill="auto"/>
            <w:vAlign w:val="center"/>
          </w:tcPr>
          <w:p w14:paraId="1B71FF4A" w14:textId="77777777" w:rsidR="00E26E2E" w:rsidRDefault="00E26E2E" w:rsidP="00E26E2E">
            <w:pPr>
              <w:pStyle w:val="TableTextBase"/>
            </w:pPr>
            <w:r w:rsidRPr="00E734CF">
              <w:t>Head of Group Tax, BHP Billiton</w:t>
            </w:r>
          </w:p>
        </w:tc>
      </w:tr>
      <w:tr w:rsidR="00E26E2E" w14:paraId="5E1D30FA" w14:textId="77777777" w:rsidTr="00FD5604">
        <w:tc>
          <w:tcPr>
            <w:tcW w:w="2552" w:type="dxa"/>
            <w:shd w:val="clear" w:color="auto" w:fill="auto"/>
            <w:vAlign w:val="center"/>
          </w:tcPr>
          <w:p w14:paraId="71A49269" w14:textId="77777777" w:rsidR="00E26E2E" w:rsidRDefault="00E26E2E" w:rsidP="00E26E2E">
            <w:pPr>
              <w:pStyle w:val="TableTextBase"/>
            </w:pPr>
            <w:r w:rsidRPr="00E734CF">
              <w:lastRenderedPageBreak/>
              <w:t>Mark Molesworth</w:t>
            </w:r>
          </w:p>
        </w:tc>
        <w:tc>
          <w:tcPr>
            <w:tcW w:w="5945" w:type="dxa"/>
            <w:shd w:val="clear" w:color="auto" w:fill="auto"/>
            <w:vAlign w:val="center"/>
          </w:tcPr>
          <w:p w14:paraId="5191B6C3" w14:textId="77777777" w:rsidR="00E26E2E" w:rsidRDefault="00E26E2E" w:rsidP="00E26E2E">
            <w:pPr>
              <w:pStyle w:val="TableTextBase"/>
            </w:pPr>
            <w:r w:rsidRPr="00E734CF">
              <w:t>Partner, BDO</w:t>
            </w:r>
          </w:p>
        </w:tc>
      </w:tr>
      <w:tr w:rsidR="00E26E2E" w14:paraId="4F625FCF" w14:textId="77777777" w:rsidTr="00FD5604">
        <w:tc>
          <w:tcPr>
            <w:tcW w:w="2552" w:type="dxa"/>
            <w:shd w:val="clear" w:color="auto" w:fill="auto"/>
            <w:vAlign w:val="center"/>
          </w:tcPr>
          <w:p w14:paraId="20ECD45E" w14:textId="77777777" w:rsidR="00E26E2E" w:rsidRDefault="00E26E2E" w:rsidP="00E26E2E">
            <w:pPr>
              <w:pStyle w:val="TableTextBase"/>
            </w:pPr>
            <w:r w:rsidRPr="00E734CF">
              <w:t>Katrina Parkyn</w:t>
            </w:r>
          </w:p>
        </w:tc>
        <w:tc>
          <w:tcPr>
            <w:tcW w:w="5945" w:type="dxa"/>
            <w:shd w:val="clear" w:color="auto" w:fill="auto"/>
            <w:vAlign w:val="center"/>
          </w:tcPr>
          <w:p w14:paraId="389BE30E" w14:textId="77777777" w:rsidR="00E26E2E" w:rsidRDefault="00E26E2E" w:rsidP="00E26E2E">
            <w:pPr>
              <w:pStyle w:val="TableTextBase"/>
            </w:pPr>
            <w:r w:rsidRPr="00E734CF">
              <w:t xml:space="preserve">Partner, King &amp; Wood </w:t>
            </w:r>
            <w:proofErr w:type="spellStart"/>
            <w:r w:rsidRPr="00E734CF">
              <w:t>Mallesons</w:t>
            </w:r>
            <w:proofErr w:type="spellEnd"/>
          </w:p>
        </w:tc>
      </w:tr>
      <w:tr w:rsidR="00E26E2E" w14:paraId="72F329DA" w14:textId="77777777" w:rsidTr="00FD5604">
        <w:tc>
          <w:tcPr>
            <w:tcW w:w="2552" w:type="dxa"/>
            <w:shd w:val="clear" w:color="auto" w:fill="auto"/>
            <w:vAlign w:val="center"/>
          </w:tcPr>
          <w:p w14:paraId="0C026C3B" w14:textId="77777777" w:rsidR="00E26E2E" w:rsidRDefault="00E26E2E" w:rsidP="00E26E2E">
            <w:pPr>
              <w:pStyle w:val="TableTextBase"/>
            </w:pPr>
            <w:r w:rsidRPr="00E734CF">
              <w:t>Michael Perez</w:t>
            </w:r>
          </w:p>
        </w:tc>
        <w:tc>
          <w:tcPr>
            <w:tcW w:w="5945" w:type="dxa"/>
            <w:shd w:val="clear" w:color="auto" w:fill="auto"/>
            <w:vAlign w:val="center"/>
          </w:tcPr>
          <w:p w14:paraId="53FED9B7" w14:textId="77777777" w:rsidR="00E26E2E" w:rsidRDefault="00E26E2E" w:rsidP="00E26E2E">
            <w:pPr>
              <w:pStyle w:val="TableTextBase"/>
            </w:pPr>
            <w:r w:rsidRPr="00E734CF">
              <w:t xml:space="preserve">Partner, King &amp; Wood </w:t>
            </w:r>
            <w:proofErr w:type="spellStart"/>
            <w:r w:rsidRPr="00E734CF">
              <w:t>Mallesons</w:t>
            </w:r>
            <w:proofErr w:type="spellEnd"/>
          </w:p>
        </w:tc>
      </w:tr>
      <w:tr w:rsidR="00E26E2E" w14:paraId="5EAF9B9D" w14:textId="77777777" w:rsidTr="00FD5604">
        <w:tc>
          <w:tcPr>
            <w:tcW w:w="2552" w:type="dxa"/>
            <w:shd w:val="clear" w:color="auto" w:fill="auto"/>
            <w:vAlign w:val="center"/>
          </w:tcPr>
          <w:p w14:paraId="7599915E" w14:textId="77777777" w:rsidR="00E26E2E" w:rsidRDefault="00E26E2E" w:rsidP="00E26E2E">
            <w:pPr>
              <w:pStyle w:val="TableTextBase"/>
            </w:pPr>
            <w:r w:rsidRPr="001C7F0B">
              <w:t>Dale Pinto</w:t>
            </w:r>
          </w:p>
        </w:tc>
        <w:tc>
          <w:tcPr>
            <w:tcW w:w="5945" w:type="dxa"/>
            <w:shd w:val="clear" w:color="auto" w:fill="auto"/>
            <w:vAlign w:val="center"/>
          </w:tcPr>
          <w:p w14:paraId="1F6AC90C" w14:textId="77777777" w:rsidR="00E26E2E" w:rsidRDefault="00E26E2E" w:rsidP="00E26E2E">
            <w:pPr>
              <w:pStyle w:val="TableTextBase"/>
            </w:pPr>
            <w:r w:rsidRPr="001C7F0B">
              <w:t>Professor of Taxation Law, Curtin Law School, Curtin University</w:t>
            </w:r>
          </w:p>
        </w:tc>
      </w:tr>
      <w:tr w:rsidR="00E26E2E" w14:paraId="3E63416C" w14:textId="77777777" w:rsidTr="00FD5604">
        <w:tc>
          <w:tcPr>
            <w:tcW w:w="2552" w:type="dxa"/>
            <w:shd w:val="clear" w:color="auto" w:fill="auto"/>
            <w:vAlign w:val="center"/>
          </w:tcPr>
          <w:p w14:paraId="11F1B01A" w14:textId="77777777" w:rsidR="00E26E2E" w:rsidRDefault="00E26E2E" w:rsidP="00E26E2E">
            <w:pPr>
              <w:pStyle w:val="TableTextBase"/>
            </w:pPr>
            <w:r w:rsidRPr="001C7F0B">
              <w:t xml:space="preserve">Anthony </w:t>
            </w:r>
            <w:proofErr w:type="spellStart"/>
            <w:r w:rsidRPr="001C7F0B">
              <w:t>Portas</w:t>
            </w:r>
            <w:proofErr w:type="spellEnd"/>
          </w:p>
        </w:tc>
        <w:tc>
          <w:tcPr>
            <w:tcW w:w="5945" w:type="dxa"/>
            <w:shd w:val="clear" w:color="auto" w:fill="auto"/>
          </w:tcPr>
          <w:p w14:paraId="7FFD95A8" w14:textId="77777777" w:rsidR="00E26E2E" w:rsidRDefault="00E26E2E" w:rsidP="00E26E2E">
            <w:pPr>
              <w:pStyle w:val="TableTextBase"/>
            </w:pPr>
            <w:r w:rsidRPr="001C7F0B">
              <w:t>General Manager Taxation, Rio Tinto</w:t>
            </w:r>
          </w:p>
        </w:tc>
      </w:tr>
      <w:tr w:rsidR="00E26E2E" w14:paraId="3AB7101A" w14:textId="77777777" w:rsidTr="00FD5604">
        <w:tc>
          <w:tcPr>
            <w:tcW w:w="2552" w:type="dxa"/>
            <w:shd w:val="clear" w:color="auto" w:fill="auto"/>
            <w:vAlign w:val="center"/>
          </w:tcPr>
          <w:p w14:paraId="00D19B96" w14:textId="77777777" w:rsidR="00E26E2E" w:rsidRDefault="00E26E2E" w:rsidP="00E26E2E">
            <w:pPr>
              <w:pStyle w:val="TableTextBase"/>
            </w:pPr>
            <w:r w:rsidRPr="001C7F0B">
              <w:t>Tony Principe</w:t>
            </w:r>
          </w:p>
        </w:tc>
        <w:tc>
          <w:tcPr>
            <w:tcW w:w="5945" w:type="dxa"/>
            <w:shd w:val="clear" w:color="auto" w:fill="auto"/>
            <w:vAlign w:val="center"/>
          </w:tcPr>
          <w:p w14:paraId="044A8AAF" w14:textId="77777777" w:rsidR="00E26E2E" w:rsidRDefault="00E26E2E" w:rsidP="00E26E2E">
            <w:pPr>
              <w:pStyle w:val="TableTextBase"/>
            </w:pPr>
            <w:r w:rsidRPr="001C7F0B">
              <w:t>Senior Tax Counsel</w:t>
            </w:r>
            <w:r>
              <w:t xml:space="preserve"> (retired)</w:t>
            </w:r>
          </w:p>
        </w:tc>
      </w:tr>
      <w:tr w:rsidR="00E26E2E" w14:paraId="49BB0F40" w14:textId="77777777" w:rsidTr="00FD5604">
        <w:tc>
          <w:tcPr>
            <w:tcW w:w="2552" w:type="dxa"/>
            <w:shd w:val="clear" w:color="auto" w:fill="auto"/>
            <w:vAlign w:val="center"/>
          </w:tcPr>
          <w:p w14:paraId="1BF18115" w14:textId="77777777" w:rsidR="00E26E2E" w:rsidRDefault="00E26E2E" w:rsidP="00E26E2E">
            <w:pPr>
              <w:pStyle w:val="TableTextBase"/>
            </w:pPr>
            <w:r w:rsidRPr="001C7F0B">
              <w:t>Brian Purdy</w:t>
            </w:r>
          </w:p>
        </w:tc>
        <w:tc>
          <w:tcPr>
            <w:tcW w:w="5945" w:type="dxa"/>
            <w:shd w:val="clear" w:color="auto" w:fill="auto"/>
            <w:vAlign w:val="center"/>
          </w:tcPr>
          <w:p w14:paraId="1AF1CFBC" w14:textId="77777777" w:rsidR="00E26E2E" w:rsidRDefault="00E26E2E" w:rsidP="00E26E2E">
            <w:pPr>
              <w:pStyle w:val="TableTextBase"/>
            </w:pPr>
            <w:r w:rsidRPr="001C7F0B">
              <w:t>Head of Tax, South32</w:t>
            </w:r>
          </w:p>
        </w:tc>
      </w:tr>
      <w:tr w:rsidR="00E26E2E" w14:paraId="13AE8FF1" w14:textId="77777777" w:rsidTr="00FD5604">
        <w:tc>
          <w:tcPr>
            <w:tcW w:w="2552" w:type="dxa"/>
            <w:shd w:val="clear" w:color="auto" w:fill="auto"/>
            <w:vAlign w:val="center"/>
          </w:tcPr>
          <w:p w14:paraId="2844EDAE" w14:textId="77777777" w:rsidR="00E26E2E" w:rsidRDefault="00E26E2E" w:rsidP="00E26E2E">
            <w:pPr>
              <w:pStyle w:val="TableTextBase"/>
            </w:pPr>
            <w:r w:rsidRPr="001C7F0B">
              <w:t>John Rawson</w:t>
            </w:r>
          </w:p>
        </w:tc>
        <w:tc>
          <w:tcPr>
            <w:tcW w:w="5945" w:type="dxa"/>
            <w:shd w:val="clear" w:color="auto" w:fill="auto"/>
            <w:vAlign w:val="center"/>
          </w:tcPr>
          <w:p w14:paraId="775F0778" w14:textId="77777777" w:rsidR="00E26E2E" w:rsidRDefault="00E26E2E" w:rsidP="00E26E2E">
            <w:pPr>
              <w:pStyle w:val="TableTextBase"/>
            </w:pPr>
            <w:r w:rsidRPr="001C7F0B">
              <w:t>Partner, Deloitte</w:t>
            </w:r>
          </w:p>
        </w:tc>
      </w:tr>
      <w:tr w:rsidR="00E26E2E" w14:paraId="3CADE037" w14:textId="77777777" w:rsidTr="00FD5604">
        <w:tc>
          <w:tcPr>
            <w:tcW w:w="2552" w:type="dxa"/>
            <w:shd w:val="clear" w:color="auto" w:fill="auto"/>
            <w:vAlign w:val="center"/>
          </w:tcPr>
          <w:p w14:paraId="2AD4C214" w14:textId="77777777" w:rsidR="00E26E2E" w:rsidRDefault="00E26E2E" w:rsidP="00E26E2E">
            <w:pPr>
              <w:pStyle w:val="TableTextBase"/>
            </w:pPr>
            <w:r w:rsidRPr="0030699C">
              <w:t>Premila Roe</w:t>
            </w:r>
          </w:p>
        </w:tc>
        <w:tc>
          <w:tcPr>
            <w:tcW w:w="5945" w:type="dxa"/>
            <w:shd w:val="clear" w:color="auto" w:fill="auto"/>
            <w:vAlign w:val="center"/>
          </w:tcPr>
          <w:p w14:paraId="3F265594" w14:textId="77777777" w:rsidR="00E26E2E" w:rsidRDefault="00E26E2E" w:rsidP="00E26E2E">
            <w:pPr>
              <w:pStyle w:val="TableTextBase"/>
            </w:pPr>
            <w:r w:rsidRPr="0030699C">
              <w:t>Vice President Tax APAC, EMEA and Transfer Pricing, BHP Billiton</w:t>
            </w:r>
          </w:p>
        </w:tc>
      </w:tr>
      <w:tr w:rsidR="00E26E2E" w14:paraId="6DA9C7FD" w14:textId="77777777" w:rsidTr="00FD5604">
        <w:tc>
          <w:tcPr>
            <w:tcW w:w="2552" w:type="dxa"/>
            <w:shd w:val="clear" w:color="auto" w:fill="auto"/>
            <w:vAlign w:val="center"/>
          </w:tcPr>
          <w:p w14:paraId="757F6276" w14:textId="77777777" w:rsidR="00E26E2E" w:rsidRDefault="00E26E2E" w:rsidP="00E26E2E">
            <w:pPr>
              <w:pStyle w:val="TableTextBase"/>
            </w:pPr>
            <w:r w:rsidRPr="0030699C">
              <w:t>Hayden Scott</w:t>
            </w:r>
          </w:p>
        </w:tc>
        <w:tc>
          <w:tcPr>
            <w:tcW w:w="5945" w:type="dxa"/>
            <w:shd w:val="clear" w:color="auto" w:fill="auto"/>
            <w:vAlign w:val="center"/>
          </w:tcPr>
          <w:p w14:paraId="32F149D2" w14:textId="77777777" w:rsidR="00E26E2E" w:rsidRDefault="00E26E2E" w:rsidP="00E26E2E">
            <w:pPr>
              <w:pStyle w:val="TableTextBase"/>
            </w:pPr>
            <w:r w:rsidRPr="0030699C">
              <w:t>Partner, PwC</w:t>
            </w:r>
          </w:p>
        </w:tc>
      </w:tr>
      <w:tr w:rsidR="00E26E2E" w14:paraId="6C8BEE49" w14:textId="77777777" w:rsidTr="00FD5604">
        <w:tc>
          <w:tcPr>
            <w:tcW w:w="2552" w:type="dxa"/>
            <w:shd w:val="clear" w:color="auto" w:fill="auto"/>
            <w:vAlign w:val="center"/>
          </w:tcPr>
          <w:p w14:paraId="256A38C9" w14:textId="77777777" w:rsidR="00E26E2E" w:rsidRDefault="00E26E2E" w:rsidP="00E26E2E">
            <w:pPr>
              <w:pStyle w:val="TableTextBase"/>
            </w:pPr>
            <w:r w:rsidRPr="0030699C">
              <w:t>Shannon Smit</w:t>
            </w:r>
          </w:p>
        </w:tc>
        <w:tc>
          <w:tcPr>
            <w:tcW w:w="5945" w:type="dxa"/>
            <w:shd w:val="clear" w:color="auto" w:fill="auto"/>
            <w:vAlign w:val="center"/>
          </w:tcPr>
          <w:p w14:paraId="771144DE" w14:textId="77777777" w:rsidR="00E26E2E" w:rsidRDefault="00E26E2E" w:rsidP="00E26E2E">
            <w:pPr>
              <w:pStyle w:val="TableTextBase"/>
            </w:pPr>
            <w:r w:rsidRPr="0030699C">
              <w:t>Director, Transfer Pricing Solutions</w:t>
            </w:r>
          </w:p>
        </w:tc>
      </w:tr>
      <w:tr w:rsidR="00E26E2E" w14:paraId="2E88EEEC" w14:textId="77777777" w:rsidTr="00FD5604">
        <w:tc>
          <w:tcPr>
            <w:tcW w:w="2552" w:type="dxa"/>
            <w:shd w:val="clear" w:color="auto" w:fill="auto"/>
            <w:vAlign w:val="center"/>
          </w:tcPr>
          <w:p w14:paraId="4F414740" w14:textId="77777777" w:rsidR="00E26E2E" w:rsidRDefault="00E26E2E" w:rsidP="00E26E2E">
            <w:pPr>
              <w:pStyle w:val="TableTextBase"/>
            </w:pPr>
            <w:r w:rsidRPr="0030699C">
              <w:t xml:space="preserve">Steve </w:t>
            </w:r>
            <w:proofErr w:type="spellStart"/>
            <w:r w:rsidRPr="0030699C">
              <w:t>Southon</w:t>
            </w:r>
            <w:proofErr w:type="spellEnd"/>
          </w:p>
        </w:tc>
        <w:tc>
          <w:tcPr>
            <w:tcW w:w="5945" w:type="dxa"/>
            <w:shd w:val="clear" w:color="auto" w:fill="auto"/>
          </w:tcPr>
          <w:p w14:paraId="16574F46" w14:textId="77777777" w:rsidR="00E26E2E" w:rsidRDefault="00E26E2E" w:rsidP="00E26E2E">
            <w:pPr>
              <w:pStyle w:val="TableTextBase"/>
            </w:pPr>
            <w:r w:rsidRPr="0030699C">
              <w:t>Chief Tax Officer, NAB</w:t>
            </w:r>
          </w:p>
        </w:tc>
      </w:tr>
      <w:tr w:rsidR="00E26E2E" w14:paraId="4DF0FCF0" w14:textId="77777777" w:rsidTr="00FD5604">
        <w:tc>
          <w:tcPr>
            <w:tcW w:w="2552" w:type="dxa"/>
            <w:shd w:val="clear" w:color="auto" w:fill="auto"/>
            <w:vAlign w:val="center"/>
          </w:tcPr>
          <w:p w14:paraId="564299F1" w14:textId="77777777" w:rsidR="00E26E2E" w:rsidRDefault="00E26E2E" w:rsidP="00E26E2E">
            <w:pPr>
              <w:pStyle w:val="TableTextBase"/>
            </w:pPr>
            <w:r w:rsidRPr="00523019">
              <w:t>Miranda Stewart</w:t>
            </w:r>
          </w:p>
        </w:tc>
        <w:tc>
          <w:tcPr>
            <w:tcW w:w="5945" w:type="dxa"/>
            <w:shd w:val="clear" w:color="auto" w:fill="auto"/>
            <w:vAlign w:val="center"/>
          </w:tcPr>
          <w:p w14:paraId="541893F5" w14:textId="77777777" w:rsidR="00E26E2E" w:rsidRDefault="00E26E2E" w:rsidP="00E26E2E">
            <w:pPr>
              <w:pStyle w:val="TableTextBase"/>
            </w:pPr>
            <w:r w:rsidRPr="00523019">
              <w:t xml:space="preserve">Professor of Law, University of Melbourne </w:t>
            </w:r>
          </w:p>
        </w:tc>
      </w:tr>
      <w:tr w:rsidR="00E26E2E" w14:paraId="64D0209B" w14:textId="77777777" w:rsidTr="00FD5604">
        <w:tc>
          <w:tcPr>
            <w:tcW w:w="2552" w:type="dxa"/>
            <w:shd w:val="clear" w:color="auto" w:fill="auto"/>
            <w:vAlign w:val="center"/>
          </w:tcPr>
          <w:p w14:paraId="31246259" w14:textId="77777777" w:rsidR="00E26E2E" w:rsidRDefault="00E26E2E" w:rsidP="00E26E2E">
            <w:pPr>
              <w:pStyle w:val="TableTextBase"/>
            </w:pPr>
            <w:r w:rsidRPr="00523019">
              <w:t>Judy Sullivan</w:t>
            </w:r>
          </w:p>
        </w:tc>
        <w:tc>
          <w:tcPr>
            <w:tcW w:w="5945" w:type="dxa"/>
            <w:shd w:val="clear" w:color="auto" w:fill="auto"/>
            <w:vAlign w:val="center"/>
          </w:tcPr>
          <w:p w14:paraId="5BDDBE08" w14:textId="77777777" w:rsidR="00E26E2E" w:rsidRDefault="00E26E2E" w:rsidP="00E26E2E">
            <w:pPr>
              <w:pStyle w:val="TableTextBase"/>
            </w:pPr>
            <w:r w:rsidRPr="00523019">
              <w:t>Partner, PwC</w:t>
            </w:r>
          </w:p>
        </w:tc>
      </w:tr>
      <w:tr w:rsidR="00E26E2E" w14:paraId="2675C6D8" w14:textId="77777777" w:rsidTr="00FD5604">
        <w:tc>
          <w:tcPr>
            <w:tcW w:w="2552" w:type="dxa"/>
            <w:shd w:val="clear" w:color="auto" w:fill="auto"/>
            <w:vAlign w:val="center"/>
          </w:tcPr>
          <w:p w14:paraId="1F7FC323" w14:textId="77777777" w:rsidR="00E26E2E" w:rsidRDefault="00E26E2E" w:rsidP="00E26E2E">
            <w:pPr>
              <w:pStyle w:val="TableTextBase"/>
            </w:pPr>
            <w:r w:rsidRPr="00523019">
              <w:t>Paul Suppree</w:t>
            </w:r>
          </w:p>
        </w:tc>
        <w:tc>
          <w:tcPr>
            <w:tcW w:w="5945" w:type="dxa"/>
            <w:shd w:val="clear" w:color="auto" w:fill="auto"/>
            <w:vAlign w:val="center"/>
          </w:tcPr>
          <w:p w14:paraId="036DCD9E" w14:textId="77777777" w:rsidR="00E26E2E" w:rsidRDefault="00E26E2E" w:rsidP="00E26E2E">
            <w:pPr>
              <w:pStyle w:val="TableTextBase"/>
            </w:pPr>
            <w:r w:rsidRPr="00523019">
              <w:t>Assistant Director, Corporate Tax Association</w:t>
            </w:r>
          </w:p>
        </w:tc>
      </w:tr>
      <w:tr w:rsidR="00E26E2E" w14:paraId="7699E978" w14:textId="77777777" w:rsidTr="00FD5604">
        <w:tc>
          <w:tcPr>
            <w:tcW w:w="2552" w:type="dxa"/>
            <w:shd w:val="clear" w:color="auto" w:fill="auto"/>
            <w:vAlign w:val="center"/>
          </w:tcPr>
          <w:p w14:paraId="0F5A18E6" w14:textId="77777777" w:rsidR="00E26E2E" w:rsidRDefault="00E26E2E" w:rsidP="00E26E2E">
            <w:pPr>
              <w:pStyle w:val="TableTextBase"/>
            </w:pPr>
            <w:proofErr w:type="spellStart"/>
            <w:r w:rsidRPr="00523019">
              <w:t>Reynah</w:t>
            </w:r>
            <w:proofErr w:type="spellEnd"/>
            <w:r w:rsidRPr="00523019">
              <w:t xml:space="preserve"> Tang AM</w:t>
            </w:r>
          </w:p>
        </w:tc>
        <w:tc>
          <w:tcPr>
            <w:tcW w:w="5945" w:type="dxa"/>
            <w:shd w:val="clear" w:color="auto" w:fill="auto"/>
            <w:vAlign w:val="center"/>
          </w:tcPr>
          <w:p w14:paraId="0E79ED86" w14:textId="77777777" w:rsidR="00E26E2E" w:rsidRDefault="00E26E2E" w:rsidP="00E26E2E">
            <w:pPr>
              <w:pStyle w:val="TableTextBase"/>
            </w:pPr>
            <w:r>
              <w:t>Member,</w:t>
            </w:r>
            <w:r w:rsidRPr="00523019">
              <w:t xml:space="preserve"> Victorian Civil and Administrative Tribunal</w:t>
            </w:r>
          </w:p>
        </w:tc>
      </w:tr>
      <w:tr w:rsidR="00E26E2E" w14:paraId="412787C2" w14:textId="77777777" w:rsidTr="00FD5604">
        <w:tc>
          <w:tcPr>
            <w:tcW w:w="2552" w:type="dxa"/>
            <w:shd w:val="clear" w:color="auto" w:fill="auto"/>
            <w:vAlign w:val="center"/>
          </w:tcPr>
          <w:p w14:paraId="099E9EDA" w14:textId="77777777" w:rsidR="00E26E2E" w:rsidRDefault="00E26E2E" w:rsidP="00E26E2E">
            <w:pPr>
              <w:pStyle w:val="TableTextBase"/>
            </w:pPr>
            <w:r w:rsidRPr="00523019">
              <w:t xml:space="preserve">Vic </w:t>
            </w:r>
            <w:proofErr w:type="spellStart"/>
            <w:r w:rsidRPr="00523019">
              <w:t>Timos</w:t>
            </w:r>
            <w:proofErr w:type="spellEnd"/>
          </w:p>
        </w:tc>
        <w:tc>
          <w:tcPr>
            <w:tcW w:w="5945" w:type="dxa"/>
            <w:shd w:val="clear" w:color="auto" w:fill="auto"/>
            <w:vAlign w:val="center"/>
          </w:tcPr>
          <w:p w14:paraId="2540C738" w14:textId="77777777" w:rsidR="00E26E2E" w:rsidRDefault="00E26E2E" w:rsidP="00E26E2E">
            <w:pPr>
              <w:pStyle w:val="TableTextBase"/>
            </w:pPr>
            <w:r w:rsidRPr="00523019">
              <w:t xml:space="preserve">Group Tax Manager, </w:t>
            </w:r>
            <w:proofErr w:type="spellStart"/>
            <w:r w:rsidRPr="00523019">
              <w:t>Incitec</w:t>
            </w:r>
            <w:proofErr w:type="spellEnd"/>
            <w:r w:rsidRPr="00523019">
              <w:t xml:space="preserve"> Pivot Limited</w:t>
            </w:r>
          </w:p>
        </w:tc>
      </w:tr>
      <w:tr w:rsidR="00E26E2E" w14:paraId="0632ADAB" w14:textId="77777777" w:rsidTr="00FD5604">
        <w:tc>
          <w:tcPr>
            <w:tcW w:w="2552" w:type="dxa"/>
            <w:shd w:val="clear" w:color="auto" w:fill="auto"/>
            <w:vAlign w:val="center"/>
          </w:tcPr>
          <w:p w14:paraId="24900435" w14:textId="77777777" w:rsidR="00E26E2E" w:rsidRDefault="00E26E2E" w:rsidP="00E26E2E">
            <w:pPr>
              <w:pStyle w:val="TableTextBase"/>
            </w:pPr>
            <w:r w:rsidRPr="00523019">
              <w:t>William Thompson</w:t>
            </w:r>
          </w:p>
        </w:tc>
        <w:tc>
          <w:tcPr>
            <w:tcW w:w="5945" w:type="dxa"/>
            <w:shd w:val="clear" w:color="auto" w:fill="auto"/>
            <w:vAlign w:val="center"/>
          </w:tcPr>
          <w:p w14:paraId="43FE19DB" w14:textId="77777777" w:rsidR="00E26E2E" w:rsidRDefault="00E26E2E" w:rsidP="00E26E2E">
            <w:pPr>
              <w:pStyle w:val="TableTextBase"/>
            </w:pPr>
            <w:r w:rsidRPr="00523019">
              <w:t>Director, Thompson Group</w:t>
            </w:r>
          </w:p>
        </w:tc>
      </w:tr>
      <w:tr w:rsidR="00E26E2E" w14:paraId="3F065AE7" w14:textId="77777777" w:rsidTr="00FD5604">
        <w:tc>
          <w:tcPr>
            <w:tcW w:w="2552" w:type="dxa"/>
            <w:shd w:val="clear" w:color="auto" w:fill="auto"/>
            <w:vAlign w:val="center"/>
          </w:tcPr>
          <w:p w14:paraId="613D3B0E" w14:textId="77777777" w:rsidR="00E26E2E" w:rsidRDefault="00E26E2E" w:rsidP="00E26E2E">
            <w:pPr>
              <w:pStyle w:val="TableTextBase"/>
            </w:pPr>
            <w:r w:rsidRPr="00523019">
              <w:t>Coralie Trotter</w:t>
            </w:r>
          </w:p>
        </w:tc>
        <w:tc>
          <w:tcPr>
            <w:tcW w:w="5945" w:type="dxa"/>
            <w:shd w:val="clear" w:color="auto" w:fill="auto"/>
            <w:vAlign w:val="center"/>
          </w:tcPr>
          <w:p w14:paraId="050F824C" w14:textId="77777777" w:rsidR="00E26E2E" w:rsidRDefault="00E26E2E" w:rsidP="00E26E2E">
            <w:pPr>
              <w:pStyle w:val="TableTextBase"/>
            </w:pPr>
            <w:r w:rsidRPr="00523019">
              <w:t xml:space="preserve">Vice President Tax (Asia Pacific) Shell </w:t>
            </w:r>
          </w:p>
        </w:tc>
      </w:tr>
      <w:tr w:rsidR="00E26E2E" w14:paraId="0DD50B98" w14:textId="77777777" w:rsidTr="00FD5604">
        <w:tc>
          <w:tcPr>
            <w:tcW w:w="2552" w:type="dxa"/>
            <w:shd w:val="clear" w:color="auto" w:fill="auto"/>
            <w:vAlign w:val="center"/>
          </w:tcPr>
          <w:p w14:paraId="71DA19B8" w14:textId="77777777" w:rsidR="00E26E2E" w:rsidRDefault="00E26E2E" w:rsidP="00E26E2E">
            <w:pPr>
              <w:pStyle w:val="TableTextBase"/>
            </w:pPr>
            <w:r w:rsidRPr="00523019">
              <w:t xml:space="preserve">Chris </w:t>
            </w:r>
            <w:proofErr w:type="spellStart"/>
            <w:r w:rsidRPr="00523019">
              <w:t>Vanderkley</w:t>
            </w:r>
            <w:proofErr w:type="spellEnd"/>
          </w:p>
        </w:tc>
        <w:tc>
          <w:tcPr>
            <w:tcW w:w="5945" w:type="dxa"/>
            <w:shd w:val="clear" w:color="auto" w:fill="auto"/>
            <w:vAlign w:val="center"/>
          </w:tcPr>
          <w:p w14:paraId="5719A4D3" w14:textId="77777777" w:rsidR="00E26E2E" w:rsidRDefault="00E26E2E" w:rsidP="00E26E2E">
            <w:pPr>
              <w:pStyle w:val="TableTextBase"/>
            </w:pPr>
            <w:r w:rsidRPr="00523019">
              <w:t>Special Counsel, PwC</w:t>
            </w:r>
          </w:p>
        </w:tc>
      </w:tr>
      <w:tr w:rsidR="00E26E2E" w14:paraId="195F27A1" w14:textId="77777777" w:rsidTr="00FD5604">
        <w:tc>
          <w:tcPr>
            <w:tcW w:w="2552" w:type="dxa"/>
            <w:shd w:val="clear" w:color="auto" w:fill="auto"/>
            <w:vAlign w:val="center"/>
          </w:tcPr>
          <w:p w14:paraId="412A90FF" w14:textId="77777777" w:rsidR="00E26E2E" w:rsidRDefault="00E26E2E" w:rsidP="00E26E2E">
            <w:pPr>
              <w:pStyle w:val="TableTextBase"/>
            </w:pPr>
            <w:r w:rsidRPr="00523019">
              <w:t>Richard Vann</w:t>
            </w:r>
          </w:p>
        </w:tc>
        <w:tc>
          <w:tcPr>
            <w:tcW w:w="5945" w:type="dxa"/>
            <w:shd w:val="clear" w:color="auto" w:fill="auto"/>
            <w:vAlign w:val="center"/>
          </w:tcPr>
          <w:p w14:paraId="19096B1E" w14:textId="77777777" w:rsidR="00E26E2E" w:rsidRDefault="00E26E2E" w:rsidP="00E26E2E">
            <w:pPr>
              <w:pStyle w:val="TableTextBase"/>
            </w:pPr>
            <w:r w:rsidRPr="00523019">
              <w:t>Challis Professor of Law, University of Sydney</w:t>
            </w:r>
          </w:p>
        </w:tc>
      </w:tr>
      <w:tr w:rsidR="00E26E2E" w14:paraId="40449ED9" w14:textId="77777777" w:rsidTr="00FD5604">
        <w:tc>
          <w:tcPr>
            <w:tcW w:w="2552" w:type="dxa"/>
            <w:shd w:val="clear" w:color="auto" w:fill="auto"/>
            <w:vAlign w:val="center"/>
          </w:tcPr>
          <w:p w14:paraId="72801B22" w14:textId="77777777" w:rsidR="00E26E2E" w:rsidRPr="00523019" w:rsidRDefault="00E26E2E" w:rsidP="00E26E2E">
            <w:pPr>
              <w:pStyle w:val="TableTextBase"/>
            </w:pPr>
            <w:r w:rsidRPr="00523019">
              <w:t>Grant Wardell</w:t>
            </w:r>
            <w:r w:rsidRPr="00523019">
              <w:noBreakHyphen/>
              <w:t>Johnson</w:t>
            </w:r>
          </w:p>
        </w:tc>
        <w:tc>
          <w:tcPr>
            <w:tcW w:w="5945" w:type="dxa"/>
            <w:shd w:val="clear" w:color="auto" w:fill="auto"/>
            <w:vAlign w:val="center"/>
          </w:tcPr>
          <w:p w14:paraId="379DEAC7" w14:textId="77777777" w:rsidR="00E26E2E" w:rsidRPr="00523019" w:rsidRDefault="00E26E2E" w:rsidP="00E26E2E">
            <w:pPr>
              <w:pStyle w:val="TableTextBase"/>
            </w:pPr>
            <w:r w:rsidRPr="00523019">
              <w:t>Lead Tax Partner, KPMG Economics &amp; Tax Centre</w:t>
            </w:r>
          </w:p>
        </w:tc>
      </w:tr>
      <w:tr w:rsidR="00E26E2E" w14:paraId="3CC548E6" w14:textId="77777777" w:rsidTr="00FD5604">
        <w:tc>
          <w:tcPr>
            <w:tcW w:w="2552" w:type="dxa"/>
            <w:shd w:val="clear" w:color="auto" w:fill="auto"/>
            <w:vAlign w:val="center"/>
          </w:tcPr>
          <w:p w14:paraId="238EBA68" w14:textId="77777777" w:rsidR="00E26E2E" w:rsidRPr="00523019" w:rsidRDefault="00E26E2E" w:rsidP="00E26E2E">
            <w:pPr>
              <w:pStyle w:val="TableTextBase"/>
            </w:pPr>
            <w:r w:rsidRPr="00523019">
              <w:t xml:space="preserve">Steve </w:t>
            </w:r>
            <w:proofErr w:type="spellStart"/>
            <w:r w:rsidRPr="00523019">
              <w:t>Westaway</w:t>
            </w:r>
            <w:proofErr w:type="spellEnd"/>
          </w:p>
        </w:tc>
        <w:tc>
          <w:tcPr>
            <w:tcW w:w="5945" w:type="dxa"/>
            <w:shd w:val="clear" w:color="auto" w:fill="auto"/>
            <w:vAlign w:val="center"/>
          </w:tcPr>
          <w:p w14:paraId="3591FDE0" w14:textId="77777777" w:rsidR="00E26E2E" w:rsidRPr="00523019" w:rsidRDefault="00E26E2E" w:rsidP="00E26E2E">
            <w:pPr>
              <w:pStyle w:val="TableTextBase"/>
            </w:pPr>
            <w:r w:rsidRPr="00523019">
              <w:t>Partner, Director &amp; Company Secretary, Grant Thornton</w:t>
            </w:r>
          </w:p>
        </w:tc>
      </w:tr>
      <w:tr w:rsidR="00E26E2E" w14:paraId="3B248A35" w14:textId="77777777" w:rsidTr="00FD5604">
        <w:tc>
          <w:tcPr>
            <w:tcW w:w="2552" w:type="dxa"/>
            <w:shd w:val="clear" w:color="auto" w:fill="auto"/>
            <w:vAlign w:val="center"/>
          </w:tcPr>
          <w:p w14:paraId="778A872D" w14:textId="77777777" w:rsidR="00E26E2E" w:rsidRPr="00523019" w:rsidRDefault="00E26E2E" w:rsidP="00E26E2E">
            <w:pPr>
              <w:pStyle w:val="TableTextBase"/>
            </w:pPr>
            <w:r w:rsidRPr="00523019">
              <w:t>Sue Williamson</w:t>
            </w:r>
          </w:p>
        </w:tc>
        <w:tc>
          <w:tcPr>
            <w:tcW w:w="5945" w:type="dxa"/>
            <w:shd w:val="clear" w:color="auto" w:fill="auto"/>
            <w:vAlign w:val="center"/>
          </w:tcPr>
          <w:p w14:paraId="1870D192" w14:textId="77777777" w:rsidR="00E26E2E" w:rsidRPr="00523019" w:rsidRDefault="00E26E2E" w:rsidP="00E26E2E">
            <w:pPr>
              <w:pStyle w:val="TableTextBase"/>
            </w:pPr>
            <w:r w:rsidRPr="00523019">
              <w:t>Partner, EY</w:t>
            </w:r>
          </w:p>
        </w:tc>
      </w:tr>
      <w:tr w:rsidR="00E26E2E" w14:paraId="71733AB2" w14:textId="77777777" w:rsidTr="00FD5604">
        <w:tc>
          <w:tcPr>
            <w:tcW w:w="2552" w:type="dxa"/>
            <w:shd w:val="clear" w:color="auto" w:fill="auto"/>
            <w:vAlign w:val="center"/>
          </w:tcPr>
          <w:p w14:paraId="03D6E7A1" w14:textId="77777777" w:rsidR="00E26E2E" w:rsidRPr="00523019" w:rsidRDefault="00E26E2E" w:rsidP="00E26E2E">
            <w:pPr>
              <w:pStyle w:val="TableTextBase"/>
            </w:pPr>
            <w:r w:rsidRPr="00523019">
              <w:t>Ken Woo</w:t>
            </w:r>
          </w:p>
        </w:tc>
        <w:tc>
          <w:tcPr>
            <w:tcW w:w="5945" w:type="dxa"/>
            <w:shd w:val="clear" w:color="auto" w:fill="auto"/>
            <w:vAlign w:val="center"/>
          </w:tcPr>
          <w:p w14:paraId="6680ACD4" w14:textId="77777777" w:rsidR="00E26E2E" w:rsidRPr="00523019" w:rsidRDefault="00E26E2E" w:rsidP="00E26E2E">
            <w:pPr>
              <w:pStyle w:val="TableTextBase"/>
            </w:pPr>
            <w:r w:rsidRPr="00523019">
              <w:t>Partner, PwC</w:t>
            </w:r>
          </w:p>
        </w:tc>
      </w:tr>
    </w:tbl>
    <w:p w14:paraId="6C9FBE44" w14:textId="77777777" w:rsidR="00E036E8" w:rsidRDefault="00E036E8" w:rsidP="00E036E8">
      <w:pPr>
        <w:pStyle w:val="TableGraphic"/>
      </w:pPr>
    </w:p>
    <w:p w14:paraId="47531D6E" w14:textId="77777777" w:rsidR="00161C74" w:rsidRDefault="00161C74" w:rsidP="00161C74">
      <w:pPr>
        <w:pStyle w:val="Heading1"/>
      </w:pPr>
      <w:bookmarkStart w:id="31" w:name="_Toc27652712"/>
      <w:r>
        <w:lastRenderedPageBreak/>
        <w:t xml:space="preserve">Appendix </w:t>
      </w:r>
      <w:r w:rsidR="00613C39">
        <w:t>G</w:t>
      </w:r>
      <w:r>
        <w:t>: Consultancies</w:t>
      </w:r>
      <w:bookmarkEnd w:id="31"/>
    </w:p>
    <w:p w14:paraId="5A9CDFFF" w14:textId="77777777" w:rsidR="006439D5" w:rsidRDefault="006439D5" w:rsidP="006439D5">
      <w:r>
        <w:t xml:space="preserve">Consultants are engaged in accordance with Treasury’s policies for the engagement of consultants and contractors. These policies, which are consistent with the Chief Executive Instructions and the Commonwealth Procurement Guidelines, are outlined in the Treasury Annual Report. </w:t>
      </w:r>
    </w:p>
    <w:p w14:paraId="4F4A2E13" w14:textId="6C0A6B1D" w:rsidR="005E6DE6" w:rsidRDefault="005E6DE6" w:rsidP="006439D5">
      <w:r w:rsidRPr="005E6DE6">
        <w:t xml:space="preserve">In 2018-19, Board had </w:t>
      </w:r>
      <w:r>
        <w:t>one</w:t>
      </w:r>
      <w:r w:rsidRPr="005E6DE6">
        <w:t xml:space="preserve"> consultancy contract </w:t>
      </w:r>
      <w:r w:rsidR="005D5342">
        <w:t xml:space="preserve">to assist with the fringe benefits tax project </w:t>
      </w:r>
      <w:r w:rsidRPr="005E6DE6">
        <w:t>involving total actual expenditure of $82,498 (including GST).</w:t>
      </w:r>
    </w:p>
    <w:p w14:paraId="6BD67314" w14:textId="77777777" w:rsidR="006439D5" w:rsidRDefault="006439D5" w:rsidP="006439D5">
      <w:pPr>
        <w:pStyle w:val="Heading1"/>
      </w:pPr>
      <w:bookmarkStart w:id="32" w:name="_Toc27652713"/>
      <w:r>
        <w:lastRenderedPageBreak/>
        <w:t xml:space="preserve">Appendix </w:t>
      </w:r>
      <w:r w:rsidR="00613C39">
        <w:t>H</w:t>
      </w:r>
      <w:r>
        <w:t>: Financial Statements</w:t>
      </w:r>
      <w:bookmarkEnd w:id="32"/>
    </w:p>
    <w:p w14:paraId="1D09C0DA" w14:textId="77777777" w:rsidR="006439D5" w:rsidRDefault="006439D5" w:rsidP="006439D5">
      <w:pPr>
        <w:pStyle w:val="TableMainHeading"/>
      </w:pPr>
      <w:bookmarkStart w:id="33" w:name="_Toc27652720"/>
      <w:r>
        <w:t xml:space="preserve">Table </w:t>
      </w:r>
      <w:r w:rsidR="00F01CA8">
        <w:t>8</w:t>
      </w:r>
      <w:r>
        <w:t>: Revenue, expenses and operating result</w:t>
      </w:r>
      <w:bookmarkEnd w:id="33"/>
    </w:p>
    <w:tbl>
      <w:tblPr>
        <w:tblW w:w="5000" w:type="pct"/>
        <w:tblCellMar>
          <w:left w:w="30" w:type="dxa"/>
          <w:right w:w="30" w:type="dxa"/>
        </w:tblCellMar>
        <w:tblLook w:val="0000" w:firstRow="0" w:lastRow="0" w:firstColumn="0" w:lastColumn="0" w:noHBand="0" w:noVBand="0"/>
      </w:tblPr>
      <w:tblGrid>
        <w:gridCol w:w="5557"/>
        <w:gridCol w:w="1475"/>
        <w:gridCol w:w="1475"/>
      </w:tblGrid>
      <w:tr w:rsidR="005E6DE6" w:rsidRPr="004E0A23" w14:paraId="1E0A8612" w14:textId="77777777" w:rsidTr="00F01CA8">
        <w:trPr>
          <w:trHeight w:val="277"/>
        </w:trPr>
        <w:tc>
          <w:tcPr>
            <w:tcW w:w="3266" w:type="pct"/>
            <w:tcBorders>
              <w:top w:val="single" w:sz="4" w:space="0" w:color="000080"/>
            </w:tcBorders>
            <w:tcMar>
              <w:left w:w="108" w:type="dxa"/>
              <w:right w:w="108" w:type="dxa"/>
            </w:tcMar>
          </w:tcPr>
          <w:p w14:paraId="1A3824F8" w14:textId="77777777" w:rsidR="005E6DE6" w:rsidRPr="004E0A23" w:rsidRDefault="005E6DE6" w:rsidP="00F01CA8">
            <w:pPr>
              <w:pStyle w:val="TableTextBase"/>
            </w:pPr>
          </w:p>
        </w:tc>
        <w:tc>
          <w:tcPr>
            <w:tcW w:w="867" w:type="pct"/>
            <w:tcBorders>
              <w:top w:val="single" w:sz="4" w:space="0" w:color="000080"/>
            </w:tcBorders>
            <w:vAlign w:val="center"/>
          </w:tcPr>
          <w:p w14:paraId="76EEF34A" w14:textId="77777777" w:rsidR="005E6DE6" w:rsidRDefault="005E6DE6" w:rsidP="00F01CA8">
            <w:pPr>
              <w:pStyle w:val="TableTextRight"/>
              <w:rPr>
                <w:rStyle w:val="Bold"/>
                <w:rFonts w:cs="Arial"/>
              </w:rPr>
            </w:pPr>
            <w:r>
              <w:t>2018</w:t>
            </w:r>
            <w:r>
              <w:noBreakHyphen/>
              <w:t>19</w:t>
            </w:r>
          </w:p>
        </w:tc>
        <w:tc>
          <w:tcPr>
            <w:tcW w:w="867" w:type="pct"/>
            <w:tcBorders>
              <w:top w:val="single" w:sz="4" w:space="0" w:color="000080"/>
            </w:tcBorders>
          </w:tcPr>
          <w:p w14:paraId="47F85CBC" w14:textId="77777777" w:rsidR="005E6DE6" w:rsidRDefault="005E6DE6" w:rsidP="00F01CA8">
            <w:pPr>
              <w:pStyle w:val="TableTextRight"/>
              <w:rPr>
                <w:rStyle w:val="Bold"/>
                <w:rFonts w:cs="Arial"/>
              </w:rPr>
            </w:pPr>
            <w:r>
              <w:rPr>
                <w:rStyle w:val="Bold"/>
                <w:rFonts w:cs="Arial"/>
              </w:rPr>
              <w:t>2017</w:t>
            </w:r>
            <w:r>
              <w:rPr>
                <w:rStyle w:val="Bold"/>
                <w:rFonts w:cs="Arial"/>
              </w:rPr>
              <w:noBreakHyphen/>
              <w:t>18</w:t>
            </w:r>
          </w:p>
        </w:tc>
      </w:tr>
      <w:tr w:rsidR="005E6DE6" w:rsidRPr="004E0A23" w14:paraId="5BC75A6C" w14:textId="77777777" w:rsidTr="00F01CA8">
        <w:trPr>
          <w:trHeight w:val="289"/>
        </w:trPr>
        <w:tc>
          <w:tcPr>
            <w:tcW w:w="3266" w:type="pct"/>
            <w:tcMar>
              <w:left w:w="108" w:type="dxa"/>
              <w:right w:w="108" w:type="dxa"/>
            </w:tcMar>
          </w:tcPr>
          <w:p w14:paraId="14C617FD" w14:textId="77777777" w:rsidR="005E6DE6" w:rsidRPr="004E0A23" w:rsidRDefault="005E6DE6" w:rsidP="00F01CA8">
            <w:pPr>
              <w:pStyle w:val="TableTextBase"/>
            </w:pPr>
          </w:p>
        </w:tc>
        <w:tc>
          <w:tcPr>
            <w:tcW w:w="867" w:type="pct"/>
            <w:vAlign w:val="center"/>
          </w:tcPr>
          <w:p w14:paraId="0E930846" w14:textId="77777777" w:rsidR="005E6DE6" w:rsidRDefault="005E6DE6" w:rsidP="00F01CA8">
            <w:pPr>
              <w:pStyle w:val="TableTextRight"/>
              <w:rPr>
                <w:rStyle w:val="Bold"/>
                <w:rFonts w:cs="Arial"/>
              </w:rPr>
            </w:pPr>
            <w:r>
              <w:t>$</w:t>
            </w:r>
          </w:p>
        </w:tc>
        <w:tc>
          <w:tcPr>
            <w:tcW w:w="867" w:type="pct"/>
          </w:tcPr>
          <w:p w14:paraId="39B12438" w14:textId="77777777" w:rsidR="005E6DE6" w:rsidRPr="004E0A23" w:rsidRDefault="005E6DE6" w:rsidP="00F01CA8">
            <w:pPr>
              <w:pStyle w:val="TableTextRight"/>
              <w:rPr>
                <w:rStyle w:val="Bold"/>
                <w:rFonts w:cs="Arial"/>
              </w:rPr>
            </w:pPr>
            <w:r w:rsidRPr="004E0A23">
              <w:rPr>
                <w:rStyle w:val="Bold"/>
                <w:rFonts w:cs="Arial"/>
              </w:rPr>
              <w:t>$</w:t>
            </w:r>
          </w:p>
        </w:tc>
      </w:tr>
      <w:tr w:rsidR="005E6DE6" w:rsidRPr="004E0A23" w14:paraId="5E9BDAA8" w14:textId="77777777" w:rsidTr="00F01CA8">
        <w:trPr>
          <w:trHeight w:val="289"/>
        </w:trPr>
        <w:tc>
          <w:tcPr>
            <w:tcW w:w="3266" w:type="pct"/>
            <w:tcMar>
              <w:left w:w="108" w:type="dxa"/>
              <w:right w:w="108" w:type="dxa"/>
            </w:tcMar>
          </w:tcPr>
          <w:p w14:paraId="09E4D886" w14:textId="77777777" w:rsidR="005E6DE6" w:rsidRPr="004E0A23" w:rsidRDefault="005E6DE6" w:rsidP="00F01CA8">
            <w:pPr>
              <w:pStyle w:val="TableTextBase"/>
              <w:rPr>
                <w:rStyle w:val="Bold"/>
              </w:rPr>
            </w:pPr>
            <w:r w:rsidRPr="004E0A23">
              <w:rPr>
                <w:rStyle w:val="Bold"/>
              </w:rPr>
              <w:t>Revenue</w:t>
            </w:r>
          </w:p>
        </w:tc>
        <w:tc>
          <w:tcPr>
            <w:tcW w:w="867" w:type="pct"/>
            <w:vAlign w:val="center"/>
          </w:tcPr>
          <w:p w14:paraId="2B5346C0" w14:textId="77777777" w:rsidR="005E6DE6" w:rsidRDefault="005E6DE6" w:rsidP="00F01CA8">
            <w:pPr>
              <w:pStyle w:val="TableTextRight"/>
              <w:rPr>
                <w:rFonts w:ascii="Helvetica" w:hAnsi="Helvetica"/>
                <w:snapToGrid w:val="0"/>
                <w:lang w:eastAsia="en-US"/>
              </w:rPr>
            </w:pPr>
          </w:p>
        </w:tc>
        <w:tc>
          <w:tcPr>
            <w:tcW w:w="867" w:type="pct"/>
          </w:tcPr>
          <w:p w14:paraId="34CE04D3" w14:textId="77777777" w:rsidR="005E6DE6" w:rsidRPr="004E0A23" w:rsidRDefault="005E6DE6" w:rsidP="00F01CA8">
            <w:pPr>
              <w:pStyle w:val="TableTextRight"/>
              <w:rPr>
                <w:rFonts w:ascii="Helvetica" w:hAnsi="Helvetica"/>
                <w:snapToGrid w:val="0"/>
                <w:lang w:eastAsia="en-US"/>
              </w:rPr>
            </w:pPr>
          </w:p>
        </w:tc>
      </w:tr>
      <w:tr w:rsidR="005E6DE6" w:rsidRPr="004E0A23" w14:paraId="0EFED9BF" w14:textId="77777777" w:rsidTr="00F01CA8">
        <w:trPr>
          <w:trHeight w:val="299"/>
        </w:trPr>
        <w:tc>
          <w:tcPr>
            <w:tcW w:w="3266" w:type="pct"/>
            <w:tcMar>
              <w:left w:w="108" w:type="dxa"/>
              <w:right w:w="108" w:type="dxa"/>
            </w:tcMar>
          </w:tcPr>
          <w:p w14:paraId="1C204E3A" w14:textId="77777777" w:rsidR="005E6DE6" w:rsidRPr="004E0A23" w:rsidRDefault="005E6DE6" w:rsidP="00F01CA8">
            <w:pPr>
              <w:pStyle w:val="TableTextBase"/>
            </w:pPr>
            <w:r>
              <w:t>Revenue – Department of the Treasury budget allocation</w:t>
            </w:r>
          </w:p>
        </w:tc>
        <w:tc>
          <w:tcPr>
            <w:tcW w:w="867" w:type="pct"/>
            <w:vAlign w:val="bottom"/>
          </w:tcPr>
          <w:p w14:paraId="1E65CFD4" w14:textId="77777777" w:rsidR="005E6DE6" w:rsidRDefault="005E6DE6" w:rsidP="00F01CA8">
            <w:pPr>
              <w:pStyle w:val="TableTextRight"/>
              <w:rPr>
                <w:rFonts w:ascii="Helvetica" w:hAnsi="Helvetica"/>
                <w:snapToGrid w:val="0"/>
                <w:lang w:eastAsia="en-US"/>
              </w:rPr>
            </w:pPr>
            <w:r>
              <w:rPr>
                <w:rFonts w:ascii="Helvetica" w:hAnsi="Helvetica" w:cs="Helvetica"/>
              </w:rPr>
              <w:t>1,854,557</w:t>
            </w:r>
          </w:p>
        </w:tc>
        <w:tc>
          <w:tcPr>
            <w:tcW w:w="867" w:type="pct"/>
            <w:vAlign w:val="bottom"/>
          </w:tcPr>
          <w:p w14:paraId="42E2B9CE" w14:textId="77777777" w:rsidR="005E6DE6" w:rsidRDefault="005E6DE6" w:rsidP="00F01CA8">
            <w:pPr>
              <w:pStyle w:val="TableTextRight"/>
              <w:rPr>
                <w:rFonts w:ascii="Helvetica" w:hAnsi="Helvetica"/>
                <w:snapToGrid w:val="0"/>
                <w:lang w:eastAsia="en-US"/>
              </w:rPr>
            </w:pPr>
            <w:r>
              <w:rPr>
                <w:rFonts w:ascii="Helvetica" w:hAnsi="Helvetica" w:cs="Helvetica"/>
              </w:rPr>
              <w:t>1,924,290</w:t>
            </w:r>
          </w:p>
        </w:tc>
      </w:tr>
      <w:tr w:rsidR="005E6DE6" w:rsidRPr="004E0A23" w14:paraId="51152BEF" w14:textId="77777777" w:rsidTr="00F01CA8">
        <w:trPr>
          <w:trHeight w:val="289"/>
        </w:trPr>
        <w:tc>
          <w:tcPr>
            <w:tcW w:w="3266" w:type="pct"/>
            <w:tcMar>
              <w:left w:w="108" w:type="dxa"/>
              <w:right w:w="108" w:type="dxa"/>
            </w:tcMar>
          </w:tcPr>
          <w:p w14:paraId="61F439EB" w14:textId="77777777" w:rsidR="005E6DE6" w:rsidRPr="004E0A23" w:rsidRDefault="005E6DE6" w:rsidP="00F01CA8">
            <w:pPr>
              <w:pStyle w:val="TableTextBase"/>
            </w:pPr>
            <w:r>
              <w:t xml:space="preserve">Revenue — </w:t>
            </w:r>
            <w:r w:rsidRPr="004E0A23">
              <w:t>Other</w:t>
            </w:r>
          </w:p>
        </w:tc>
        <w:tc>
          <w:tcPr>
            <w:tcW w:w="867" w:type="pct"/>
            <w:vAlign w:val="center"/>
          </w:tcPr>
          <w:p w14:paraId="715EDBC9" w14:textId="77777777" w:rsidR="005E6DE6" w:rsidRDefault="005E6DE6" w:rsidP="00F01CA8">
            <w:pPr>
              <w:pStyle w:val="TableTextRight"/>
              <w:rPr>
                <w:rFonts w:ascii="Helvetica" w:hAnsi="Helvetica"/>
                <w:snapToGrid w:val="0"/>
                <w:lang w:eastAsia="en-US"/>
              </w:rPr>
            </w:pPr>
            <w:r>
              <w:rPr>
                <w:rFonts w:ascii="Helvetica" w:hAnsi="Helvetica" w:cs="Helvetica"/>
              </w:rPr>
              <w:t>455,869</w:t>
            </w:r>
          </w:p>
        </w:tc>
        <w:tc>
          <w:tcPr>
            <w:tcW w:w="867" w:type="pct"/>
            <w:vAlign w:val="center"/>
          </w:tcPr>
          <w:p w14:paraId="5F22B20B" w14:textId="77777777" w:rsidR="005E6DE6" w:rsidRDefault="005E6DE6" w:rsidP="00F01CA8">
            <w:pPr>
              <w:pStyle w:val="TableTextRight"/>
              <w:rPr>
                <w:rFonts w:ascii="Helvetica" w:hAnsi="Helvetica"/>
                <w:snapToGrid w:val="0"/>
                <w:lang w:eastAsia="en-US"/>
              </w:rPr>
            </w:pPr>
            <w:r>
              <w:rPr>
                <w:rFonts w:ascii="Helvetica" w:hAnsi="Helvetica" w:cs="Helvetica"/>
              </w:rPr>
              <w:t>483,343</w:t>
            </w:r>
          </w:p>
        </w:tc>
      </w:tr>
      <w:tr w:rsidR="005E6DE6" w:rsidRPr="004E0A23" w14:paraId="45C81EBE" w14:textId="77777777" w:rsidTr="00F01CA8">
        <w:trPr>
          <w:trHeight w:val="289"/>
        </w:trPr>
        <w:tc>
          <w:tcPr>
            <w:tcW w:w="3266" w:type="pct"/>
            <w:tcMar>
              <w:left w:w="108" w:type="dxa"/>
              <w:right w:w="108" w:type="dxa"/>
            </w:tcMar>
          </w:tcPr>
          <w:p w14:paraId="344344CB" w14:textId="77777777" w:rsidR="005E6DE6" w:rsidRPr="004E0A23" w:rsidRDefault="005E6DE6" w:rsidP="00F01CA8">
            <w:pPr>
              <w:pStyle w:val="TableTextBase"/>
              <w:rPr>
                <w:rStyle w:val="Bold"/>
              </w:rPr>
            </w:pPr>
            <w:r w:rsidRPr="004E0A23">
              <w:rPr>
                <w:rStyle w:val="Bold"/>
              </w:rPr>
              <w:t>Total revenue</w:t>
            </w:r>
          </w:p>
        </w:tc>
        <w:tc>
          <w:tcPr>
            <w:tcW w:w="867" w:type="pct"/>
            <w:vAlign w:val="center"/>
          </w:tcPr>
          <w:p w14:paraId="13B2F8D7" w14:textId="77777777" w:rsidR="005E6DE6" w:rsidRPr="00F01CA8" w:rsidRDefault="005E6DE6" w:rsidP="00F01CA8">
            <w:pPr>
              <w:pStyle w:val="TableTextRight"/>
              <w:rPr>
                <w:rFonts w:ascii="Helvetica" w:hAnsi="Helvetica"/>
                <w:b/>
                <w:snapToGrid w:val="0"/>
                <w:lang w:eastAsia="en-US"/>
              </w:rPr>
            </w:pPr>
            <w:r w:rsidRPr="00F01CA8">
              <w:rPr>
                <w:rFonts w:ascii="Helvetica" w:hAnsi="Helvetica" w:cs="Helvetica"/>
                <w:b/>
              </w:rPr>
              <w:t>2,310,426</w:t>
            </w:r>
          </w:p>
        </w:tc>
        <w:tc>
          <w:tcPr>
            <w:tcW w:w="867" w:type="pct"/>
            <w:vAlign w:val="center"/>
          </w:tcPr>
          <w:p w14:paraId="54010275" w14:textId="77777777" w:rsidR="005E6DE6" w:rsidRPr="00F01CA8" w:rsidRDefault="005E6DE6" w:rsidP="00F01CA8">
            <w:pPr>
              <w:pStyle w:val="TableTextRight"/>
              <w:rPr>
                <w:rFonts w:ascii="Helvetica" w:hAnsi="Helvetica"/>
                <w:b/>
                <w:snapToGrid w:val="0"/>
                <w:lang w:eastAsia="en-US"/>
              </w:rPr>
            </w:pPr>
            <w:r w:rsidRPr="00F01CA8">
              <w:rPr>
                <w:rFonts w:ascii="Helvetica" w:hAnsi="Helvetica" w:cs="Helvetica"/>
                <w:b/>
              </w:rPr>
              <w:t>2,407,633</w:t>
            </w:r>
          </w:p>
        </w:tc>
      </w:tr>
      <w:tr w:rsidR="005E6DE6" w:rsidRPr="004E0A23" w14:paraId="6735C65A" w14:textId="77777777" w:rsidTr="00F01CA8">
        <w:trPr>
          <w:trHeight w:val="289"/>
        </w:trPr>
        <w:tc>
          <w:tcPr>
            <w:tcW w:w="3266" w:type="pct"/>
            <w:tcMar>
              <w:left w:w="108" w:type="dxa"/>
              <w:right w:w="108" w:type="dxa"/>
            </w:tcMar>
          </w:tcPr>
          <w:p w14:paraId="29502981" w14:textId="77777777" w:rsidR="005E6DE6" w:rsidRPr="004E0A23" w:rsidRDefault="005E6DE6" w:rsidP="00F01CA8">
            <w:pPr>
              <w:pStyle w:val="TableTextBase"/>
              <w:rPr>
                <w:rStyle w:val="Bold"/>
              </w:rPr>
            </w:pPr>
            <w:r w:rsidRPr="004E0A23">
              <w:rPr>
                <w:rStyle w:val="Bold"/>
              </w:rPr>
              <w:t>Expenses</w:t>
            </w:r>
          </w:p>
        </w:tc>
        <w:tc>
          <w:tcPr>
            <w:tcW w:w="867" w:type="pct"/>
            <w:vAlign w:val="center"/>
          </w:tcPr>
          <w:p w14:paraId="03550279" w14:textId="77777777" w:rsidR="005E6DE6" w:rsidRDefault="005E6DE6" w:rsidP="00F01CA8">
            <w:pPr>
              <w:pStyle w:val="TableTextRight"/>
              <w:rPr>
                <w:rFonts w:ascii="Helvetica" w:hAnsi="Helvetica"/>
                <w:snapToGrid w:val="0"/>
                <w:lang w:eastAsia="en-US"/>
              </w:rPr>
            </w:pPr>
          </w:p>
        </w:tc>
        <w:tc>
          <w:tcPr>
            <w:tcW w:w="867" w:type="pct"/>
            <w:vAlign w:val="center"/>
          </w:tcPr>
          <w:p w14:paraId="6F4C8FCE" w14:textId="77777777" w:rsidR="005E6DE6" w:rsidRPr="004E0A23" w:rsidRDefault="005E6DE6" w:rsidP="00F01CA8">
            <w:pPr>
              <w:pStyle w:val="TableTextRight"/>
              <w:rPr>
                <w:rFonts w:ascii="Helvetica" w:hAnsi="Helvetica"/>
                <w:snapToGrid w:val="0"/>
                <w:lang w:eastAsia="en-US"/>
              </w:rPr>
            </w:pPr>
          </w:p>
        </w:tc>
      </w:tr>
      <w:tr w:rsidR="005E6DE6" w:rsidRPr="004E0A23" w14:paraId="2B87BF8D" w14:textId="77777777" w:rsidTr="00F01CA8">
        <w:trPr>
          <w:trHeight w:val="289"/>
        </w:trPr>
        <w:tc>
          <w:tcPr>
            <w:tcW w:w="3266" w:type="pct"/>
            <w:tcMar>
              <w:left w:w="108" w:type="dxa"/>
              <w:right w:w="108" w:type="dxa"/>
            </w:tcMar>
          </w:tcPr>
          <w:p w14:paraId="1507467C" w14:textId="77777777" w:rsidR="005E6DE6" w:rsidRPr="004E0A23" w:rsidRDefault="005E6DE6" w:rsidP="00F01CA8">
            <w:pPr>
              <w:pStyle w:val="TableTextBase"/>
              <w:rPr>
                <w:i/>
              </w:rPr>
            </w:pPr>
            <w:r w:rsidRPr="004E0A23">
              <w:rPr>
                <w:i/>
              </w:rPr>
              <w:t>Employee expenses</w:t>
            </w:r>
          </w:p>
        </w:tc>
        <w:tc>
          <w:tcPr>
            <w:tcW w:w="867" w:type="pct"/>
            <w:vAlign w:val="center"/>
          </w:tcPr>
          <w:p w14:paraId="5327CA14" w14:textId="77777777" w:rsidR="005E6DE6" w:rsidRDefault="005E6DE6" w:rsidP="00F01CA8">
            <w:pPr>
              <w:pStyle w:val="TableTextRight"/>
              <w:rPr>
                <w:rFonts w:ascii="Helvetica" w:hAnsi="Helvetica"/>
                <w:snapToGrid w:val="0"/>
                <w:lang w:eastAsia="en-US"/>
              </w:rPr>
            </w:pPr>
          </w:p>
        </w:tc>
        <w:tc>
          <w:tcPr>
            <w:tcW w:w="867" w:type="pct"/>
            <w:vAlign w:val="center"/>
          </w:tcPr>
          <w:p w14:paraId="38804299" w14:textId="77777777" w:rsidR="005E6DE6" w:rsidRPr="004E0A23" w:rsidRDefault="005E6DE6" w:rsidP="00F01CA8">
            <w:pPr>
              <w:pStyle w:val="TableTextRight"/>
              <w:rPr>
                <w:rFonts w:ascii="Helvetica" w:hAnsi="Helvetica"/>
                <w:snapToGrid w:val="0"/>
                <w:lang w:eastAsia="en-US"/>
              </w:rPr>
            </w:pPr>
          </w:p>
        </w:tc>
      </w:tr>
      <w:tr w:rsidR="005E6DE6" w:rsidRPr="004E0A23" w14:paraId="26C6A3A6" w14:textId="77777777" w:rsidTr="00F01CA8">
        <w:trPr>
          <w:trHeight w:val="289"/>
        </w:trPr>
        <w:tc>
          <w:tcPr>
            <w:tcW w:w="3266" w:type="pct"/>
            <w:tcMar>
              <w:left w:w="108" w:type="dxa"/>
              <w:right w:w="108" w:type="dxa"/>
            </w:tcMar>
          </w:tcPr>
          <w:p w14:paraId="11CC4124" w14:textId="77777777" w:rsidR="005E6DE6" w:rsidRPr="004E0A23" w:rsidRDefault="005E6DE6" w:rsidP="00F01CA8">
            <w:pPr>
              <w:pStyle w:val="TableTextBase"/>
            </w:pPr>
            <w:r w:rsidRPr="004E0A23">
              <w:t>Wages</w:t>
            </w:r>
          </w:p>
        </w:tc>
        <w:tc>
          <w:tcPr>
            <w:tcW w:w="867" w:type="pct"/>
            <w:vAlign w:val="center"/>
          </w:tcPr>
          <w:p w14:paraId="63EBCF67" w14:textId="77777777" w:rsidR="005E6DE6" w:rsidRDefault="005E6DE6" w:rsidP="00F01CA8">
            <w:pPr>
              <w:pStyle w:val="TableTextRight"/>
              <w:rPr>
                <w:rFonts w:ascii="Helvetica" w:hAnsi="Helvetica" w:cs="Helvetica"/>
              </w:rPr>
            </w:pPr>
            <w:r>
              <w:rPr>
                <w:rFonts w:ascii="Helvetica" w:hAnsi="Helvetica" w:cs="Helvetica"/>
              </w:rPr>
              <w:t>701,583</w:t>
            </w:r>
          </w:p>
        </w:tc>
        <w:tc>
          <w:tcPr>
            <w:tcW w:w="867" w:type="pct"/>
            <w:vAlign w:val="center"/>
          </w:tcPr>
          <w:p w14:paraId="68808DA3" w14:textId="77777777" w:rsidR="005E6DE6" w:rsidRDefault="005E6DE6" w:rsidP="00F01CA8">
            <w:pPr>
              <w:pStyle w:val="TableTextRight"/>
              <w:rPr>
                <w:rFonts w:ascii="Helvetica" w:hAnsi="Helvetica"/>
                <w:snapToGrid w:val="0"/>
                <w:lang w:eastAsia="en-US"/>
              </w:rPr>
            </w:pPr>
            <w:r>
              <w:rPr>
                <w:rFonts w:ascii="Helvetica" w:hAnsi="Helvetica" w:cs="Helvetica"/>
              </w:rPr>
              <w:t>737,251</w:t>
            </w:r>
          </w:p>
        </w:tc>
      </w:tr>
      <w:tr w:rsidR="005E6DE6" w:rsidRPr="004E0A23" w14:paraId="4B181866" w14:textId="77777777" w:rsidTr="00F01CA8">
        <w:trPr>
          <w:trHeight w:val="289"/>
        </w:trPr>
        <w:tc>
          <w:tcPr>
            <w:tcW w:w="3266" w:type="pct"/>
            <w:tcMar>
              <w:left w:w="108" w:type="dxa"/>
              <w:right w:w="108" w:type="dxa"/>
            </w:tcMar>
          </w:tcPr>
          <w:p w14:paraId="2D80CD54" w14:textId="77777777" w:rsidR="005E6DE6" w:rsidRPr="004E0A23" w:rsidRDefault="005E6DE6" w:rsidP="00F01CA8">
            <w:pPr>
              <w:pStyle w:val="TableTextBase"/>
            </w:pPr>
            <w:r w:rsidRPr="004E0A23">
              <w:t>Superannuation</w:t>
            </w:r>
          </w:p>
        </w:tc>
        <w:tc>
          <w:tcPr>
            <w:tcW w:w="867" w:type="pct"/>
            <w:vAlign w:val="center"/>
          </w:tcPr>
          <w:p w14:paraId="4151E7EE" w14:textId="77777777" w:rsidR="005E6DE6" w:rsidRDefault="005E6DE6" w:rsidP="00F01CA8">
            <w:pPr>
              <w:pStyle w:val="TableTextRight"/>
              <w:rPr>
                <w:rFonts w:ascii="Helvetica" w:hAnsi="Helvetica" w:cs="Helvetica"/>
              </w:rPr>
            </w:pPr>
            <w:r>
              <w:rPr>
                <w:rFonts w:ascii="Helvetica" w:hAnsi="Helvetica" w:cs="Helvetica"/>
              </w:rPr>
              <w:t>180,769</w:t>
            </w:r>
          </w:p>
        </w:tc>
        <w:tc>
          <w:tcPr>
            <w:tcW w:w="867" w:type="pct"/>
            <w:vAlign w:val="center"/>
          </w:tcPr>
          <w:p w14:paraId="7E3B7C2F" w14:textId="77777777" w:rsidR="005E6DE6" w:rsidRDefault="005E6DE6" w:rsidP="00F01CA8">
            <w:pPr>
              <w:pStyle w:val="TableTextRight"/>
              <w:rPr>
                <w:rFonts w:ascii="Helvetica" w:hAnsi="Helvetica"/>
                <w:snapToGrid w:val="0"/>
                <w:lang w:eastAsia="en-US"/>
              </w:rPr>
            </w:pPr>
            <w:r>
              <w:rPr>
                <w:rFonts w:ascii="Helvetica" w:hAnsi="Helvetica" w:cs="Helvetica"/>
              </w:rPr>
              <w:t>188,335</w:t>
            </w:r>
          </w:p>
        </w:tc>
      </w:tr>
      <w:tr w:rsidR="005E6DE6" w:rsidRPr="004E0A23" w14:paraId="3EC7DF58" w14:textId="77777777" w:rsidTr="00F01CA8">
        <w:trPr>
          <w:trHeight w:val="277"/>
        </w:trPr>
        <w:tc>
          <w:tcPr>
            <w:tcW w:w="3266" w:type="pct"/>
            <w:tcMar>
              <w:left w:w="108" w:type="dxa"/>
              <w:right w:w="108" w:type="dxa"/>
            </w:tcMar>
          </w:tcPr>
          <w:p w14:paraId="766CEEAC" w14:textId="77777777" w:rsidR="005E6DE6" w:rsidRPr="004E0A23" w:rsidRDefault="005E6DE6" w:rsidP="00F01CA8">
            <w:pPr>
              <w:pStyle w:val="TableTextBase"/>
            </w:pPr>
            <w:r w:rsidRPr="004E0A23">
              <w:t>Other employee expenses</w:t>
            </w:r>
          </w:p>
        </w:tc>
        <w:tc>
          <w:tcPr>
            <w:tcW w:w="867" w:type="pct"/>
            <w:vAlign w:val="center"/>
          </w:tcPr>
          <w:p w14:paraId="4C0D32B9" w14:textId="77777777" w:rsidR="005E6DE6" w:rsidRDefault="005E6DE6" w:rsidP="00F01CA8">
            <w:pPr>
              <w:pStyle w:val="TableTextRight"/>
              <w:rPr>
                <w:rFonts w:ascii="Helvetica" w:hAnsi="Helvetica" w:cs="Helvetica"/>
              </w:rPr>
            </w:pPr>
            <w:r>
              <w:rPr>
                <w:rFonts w:ascii="Helvetica" w:hAnsi="Helvetica" w:cs="Helvetica"/>
              </w:rPr>
              <w:t>583,971</w:t>
            </w:r>
          </w:p>
        </w:tc>
        <w:tc>
          <w:tcPr>
            <w:tcW w:w="867" w:type="pct"/>
            <w:vAlign w:val="center"/>
          </w:tcPr>
          <w:p w14:paraId="315FAEF6" w14:textId="77777777" w:rsidR="005E6DE6" w:rsidRDefault="005E6DE6" w:rsidP="00F01CA8">
            <w:pPr>
              <w:pStyle w:val="TableTextRight"/>
              <w:rPr>
                <w:rFonts w:ascii="Helvetica" w:hAnsi="Helvetica"/>
                <w:snapToGrid w:val="0"/>
                <w:lang w:eastAsia="en-US"/>
              </w:rPr>
            </w:pPr>
            <w:r>
              <w:rPr>
                <w:rFonts w:ascii="Helvetica" w:hAnsi="Helvetica" w:cs="Helvetica"/>
              </w:rPr>
              <w:t>600,250</w:t>
            </w:r>
          </w:p>
        </w:tc>
      </w:tr>
      <w:tr w:rsidR="005E6DE6" w:rsidRPr="00F01CA8" w14:paraId="40E1A6B4" w14:textId="77777777" w:rsidTr="00F01CA8">
        <w:trPr>
          <w:trHeight w:val="289"/>
        </w:trPr>
        <w:tc>
          <w:tcPr>
            <w:tcW w:w="3266" w:type="pct"/>
            <w:tcMar>
              <w:left w:w="108" w:type="dxa"/>
              <w:right w:w="108" w:type="dxa"/>
            </w:tcMar>
          </w:tcPr>
          <w:p w14:paraId="14D013DB" w14:textId="77777777" w:rsidR="005E6DE6" w:rsidRPr="00EF3EEF" w:rsidRDefault="005E6DE6" w:rsidP="00F01CA8">
            <w:pPr>
              <w:pStyle w:val="TableTextBase"/>
              <w:rPr>
                <w:b/>
                <w:i/>
              </w:rPr>
            </w:pPr>
            <w:r w:rsidRPr="00EF3EEF">
              <w:rPr>
                <w:b/>
                <w:i/>
              </w:rPr>
              <w:t>Total employee expenses</w:t>
            </w:r>
          </w:p>
        </w:tc>
        <w:tc>
          <w:tcPr>
            <w:tcW w:w="867" w:type="pct"/>
            <w:vAlign w:val="center"/>
          </w:tcPr>
          <w:p w14:paraId="0D9666B8" w14:textId="77777777" w:rsidR="005E6DE6" w:rsidRPr="00F01CA8" w:rsidRDefault="005E6DE6" w:rsidP="00F01CA8">
            <w:pPr>
              <w:pStyle w:val="TableTextRight"/>
              <w:rPr>
                <w:rFonts w:ascii="Helvetica" w:hAnsi="Helvetica" w:cs="Helvetica"/>
                <w:b/>
                <w:i/>
                <w:iCs/>
              </w:rPr>
            </w:pPr>
            <w:r w:rsidRPr="00F01CA8">
              <w:rPr>
                <w:rFonts w:ascii="Helvetica" w:hAnsi="Helvetica" w:cs="Helvetica"/>
                <w:b/>
                <w:i/>
                <w:iCs/>
              </w:rPr>
              <w:t>1,466,323</w:t>
            </w:r>
          </w:p>
        </w:tc>
        <w:tc>
          <w:tcPr>
            <w:tcW w:w="867" w:type="pct"/>
            <w:vAlign w:val="center"/>
          </w:tcPr>
          <w:p w14:paraId="5DEF501F" w14:textId="77777777" w:rsidR="005E6DE6" w:rsidRPr="00F01CA8" w:rsidRDefault="005E6DE6" w:rsidP="00F01CA8">
            <w:pPr>
              <w:pStyle w:val="TableTextRight"/>
              <w:rPr>
                <w:rFonts w:ascii="Helvetica" w:hAnsi="Helvetica"/>
                <w:b/>
                <w:i/>
                <w:snapToGrid w:val="0"/>
                <w:lang w:eastAsia="en-US"/>
              </w:rPr>
            </w:pPr>
            <w:r w:rsidRPr="00F01CA8">
              <w:rPr>
                <w:rFonts w:ascii="Helvetica" w:hAnsi="Helvetica" w:cs="Helvetica"/>
                <w:b/>
                <w:i/>
                <w:iCs/>
              </w:rPr>
              <w:t>1,525,836</w:t>
            </w:r>
          </w:p>
        </w:tc>
      </w:tr>
      <w:tr w:rsidR="005E6DE6" w:rsidRPr="004E0A23" w14:paraId="61369A28" w14:textId="77777777" w:rsidTr="00F01CA8">
        <w:trPr>
          <w:trHeight w:val="289"/>
        </w:trPr>
        <w:tc>
          <w:tcPr>
            <w:tcW w:w="3266" w:type="pct"/>
            <w:tcMar>
              <w:left w:w="108" w:type="dxa"/>
              <w:right w:w="108" w:type="dxa"/>
            </w:tcMar>
          </w:tcPr>
          <w:p w14:paraId="2BC52162" w14:textId="77777777" w:rsidR="005E6DE6" w:rsidRPr="004E0A23" w:rsidRDefault="005E6DE6" w:rsidP="00F01CA8">
            <w:pPr>
              <w:pStyle w:val="TableTextBase"/>
              <w:rPr>
                <w:rFonts w:ascii="Helvetica" w:hAnsi="Helvetica"/>
                <w:i/>
              </w:rPr>
            </w:pPr>
            <w:r w:rsidRPr="004E0A23">
              <w:rPr>
                <w:rFonts w:ascii="Helvetica" w:hAnsi="Helvetica"/>
                <w:i/>
              </w:rPr>
              <w:t>Other expenses</w:t>
            </w:r>
          </w:p>
        </w:tc>
        <w:tc>
          <w:tcPr>
            <w:tcW w:w="867" w:type="pct"/>
            <w:vAlign w:val="center"/>
          </w:tcPr>
          <w:p w14:paraId="449E65D9" w14:textId="77777777" w:rsidR="005E6DE6" w:rsidRDefault="005E6DE6" w:rsidP="00F01CA8">
            <w:pPr>
              <w:pStyle w:val="TableTextRight"/>
              <w:rPr>
                <w:rFonts w:ascii="Arial" w:hAnsi="Arial"/>
                <w:snapToGrid w:val="0"/>
                <w:lang w:eastAsia="en-US"/>
              </w:rPr>
            </w:pPr>
          </w:p>
        </w:tc>
        <w:tc>
          <w:tcPr>
            <w:tcW w:w="867" w:type="pct"/>
            <w:vAlign w:val="center"/>
          </w:tcPr>
          <w:p w14:paraId="0BB606FC" w14:textId="77777777" w:rsidR="005E6DE6" w:rsidRPr="004E0A23" w:rsidRDefault="005E6DE6" w:rsidP="00F01CA8">
            <w:pPr>
              <w:pStyle w:val="TableTextRight"/>
              <w:rPr>
                <w:rFonts w:ascii="Arial" w:hAnsi="Arial"/>
                <w:snapToGrid w:val="0"/>
                <w:lang w:eastAsia="en-US"/>
              </w:rPr>
            </w:pPr>
          </w:p>
        </w:tc>
      </w:tr>
      <w:tr w:rsidR="005E6DE6" w:rsidRPr="004E0A23" w14:paraId="6CFC7617" w14:textId="77777777" w:rsidTr="00F01CA8">
        <w:trPr>
          <w:trHeight w:val="289"/>
        </w:trPr>
        <w:tc>
          <w:tcPr>
            <w:tcW w:w="3266" w:type="pct"/>
            <w:tcMar>
              <w:left w:w="108" w:type="dxa"/>
              <w:right w:w="108" w:type="dxa"/>
            </w:tcMar>
          </w:tcPr>
          <w:p w14:paraId="06C4DB9C" w14:textId="77777777" w:rsidR="005E6DE6" w:rsidRPr="004E0A23" w:rsidRDefault="005E6DE6" w:rsidP="00F01CA8">
            <w:pPr>
              <w:pStyle w:val="TableTextBase"/>
            </w:pPr>
            <w:r w:rsidRPr="004E0A23">
              <w:t>Travel</w:t>
            </w:r>
          </w:p>
        </w:tc>
        <w:tc>
          <w:tcPr>
            <w:tcW w:w="867" w:type="pct"/>
            <w:vAlign w:val="center"/>
          </w:tcPr>
          <w:p w14:paraId="49299270" w14:textId="77777777" w:rsidR="005E6DE6" w:rsidRDefault="005E6DE6" w:rsidP="00F01CA8">
            <w:pPr>
              <w:pStyle w:val="TableTextRight"/>
              <w:rPr>
                <w:rFonts w:ascii="Helvetica" w:hAnsi="Helvetica" w:cs="Helvetica"/>
              </w:rPr>
            </w:pPr>
            <w:r>
              <w:rPr>
                <w:rFonts w:ascii="Helvetica" w:hAnsi="Helvetica" w:cs="Helvetica"/>
              </w:rPr>
              <w:t>150,828</w:t>
            </w:r>
          </w:p>
        </w:tc>
        <w:tc>
          <w:tcPr>
            <w:tcW w:w="867" w:type="pct"/>
            <w:vAlign w:val="center"/>
          </w:tcPr>
          <w:p w14:paraId="5AE3B751" w14:textId="77777777" w:rsidR="005E6DE6" w:rsidRDefault="005E6DE6" w:rsidP="00F01CA8">
            <w:pPr>
              <w:pStyle w:val="TableTextRight"/>
              <w:rPr>
                <w:rFonts w:ascii="Arial" w:hAnsi="Arial"/>
              </w:rPr>
            </w:pPr>
            <w:r>
              <w:rPr>
                <w:rFonts w:ascii="Helvetica" w:hAnsi="Helvetica" w:cs="Helvetica"/>
              </w:rPr>
              <w:t>180,587</w:t>
            </w:r>
          </w:p>
        </w:tc>
      </w:tr>
      <w:tr w:rsidR="005E6DE6" w:rsidRPr="004E0A23" w14:paraId="6763DE67" w14:textId="77777777" w:rsidTr="00F01CA8">
        <w:trPr>
          <w:trHeight w:val="289"/>
        </w:trPr>
        <w:tc>
          <w:tcPr>
            <w:tcW w:w="3266" w:type="pct"/>
            <w:tcMar>
              <w:left w:w="108" w:type="dxa"/>
              <w:right w:w="108" w:type="dxa"/>
            </w:tcMar>
          </w:tcPr>
          <w:p w14:paraId="2C4B3E20" w14:textId="77777777" w:rsidR="005E6DE6" w:rsidRPr="004E0A23" w:rsidRDefault="005E6DE6" w:rsidP="00F01CA8">
            <w:pPr>
              <w:pStyle w:val="TableTextBase"/>
            </w:pPr>
            <w:r w:rsidRPr="004E0A23">
              <w:t>Conferences and training</w:t>
            </w:r>
          </w:p>
        </w:tc>
        <w:tc>
          <w:tcPr>
            <w:tcW w:w="867" w:type="pct"/>
            <w:vAlign w:val="center"/>
          </w:tcPr>
          <w:p w14:paraId="5D9B2F82" w14:textId="77777777" w:rsidR="005E6DE6" w:rsidRDefault="005E6DE6" w:rsidP="00F01CA8">
            <w:pPr>
              <w:pStyle w:val="TableTextRight"/>
              <w:rPr>
                <w:rFonts w:ascii="Helvetica" w:hAnsi="Helvetica" w:cs="Helvetica"/>
              </w:rPr>
            </w:pPr>
            <w:r>
              <w:rPr>
                <w:rFonts w:ascii="Helvetica" w:hAnsi="Helvetica" w:cs="Helvetica"/>
              </w:rPr>
              <w:t>3,924</w:t>
            </w:r>
          </w:p>
        </w:tc>
        <w:tc>
          <w:tcPr>
            <w:tcW w:w="867" w:type="pct"/>
            <w:vAlign w:val="center"/>
          </w:tcPr>
          <w:p w14:paraId="257A7EEC" w14:textId="77777777" w:rsidR="005E6DE6" w:rsidRDefault="005E6DE6" w:rsidP="00F01CA8">
            <w:pPr>
              <w:pStyle w:val="TableTextRight"/>
              <w:rPr>
                <w:rFonts w:ascii="Arial" w:hAnsi="Arial"/>
              </w:rPr>
            </w:pPr>
            <w:r>
              <w:rPr>
                <w:rFonts w:ascii="Helvetica" w:hAnsi="Helvetica" w:cs="Helvetica"/>
              </w:rPr>
              <w:t>2,473</w:t>
            </w:r>
          </w:p>
        </w:tc>
      </w:tr>
      <w:tr w:rsidR="005E6DE6" w:rsidRPr="004E0A23" w14:paraId="42815F14" w14:textId="77777777" w:rsidTr="00F01CA8">
        <w:trPr>
          <w:trHeight w:val="289"/>
        </w:trPr>
        <w:tc>
          <w:tcPr>
            <w:tcW w:w="3266" w:type="pct"/>
            <w:tcMar>
              <w:left w:w="108" w:type="dxa"/>
              <w:right w:w="108" w:type="dxa"/>
            </w:tcMar>
          </w:tcPr>
          <w:p w14:paraId="7D57F7DF" w14:textId="77777777" w:rsidR="005E6DE6" w:rsidRPr="004E0A23" w:rsidRDefault="005E6DE6" w:rsidP="00F01CA8">
            <w:pPr>
              <w:pStyle w:val="TableTextBase"/>
            </w:pPr>
            <w:r w:rsidRPr="004E0A23">
              <w:t>Consultants and Contractors</w:t>
            </w:r>
          </w:p>
        </w:tc>
        <w:tc>
          <w:tcPr>
            <w:tcW w:w="867" w:type="pct"/>
            <w:vAlign w:val="center"/>
          </w:tcPr>
          <w:p w14:paraId="32CD19C7" w14:textId="77777777" w:rsidR="005E6DE6" w:rsidRDefault="005E6DE6" w:rsidP="00F01CA8">
            <w:pPr>
              <w:pStyle w:val="TableTextRight"/>
              <w:rPr>
                <w:rFonts w:ascii="Helvetica" w:hAnsi="Helvetica" w:cs="Helvetica"/>
              </w:rPr>
            </w:pPr>
            <w:r>
              <w:rPr>
                <w:rFonts w:ascii="Helvetica" w:hAnsi="Helvetica" w:cs="Helvetica"/>
              </w:rPr>
              <w:t>74,998</w:t>
            </w:r>
          </w:p>
        </w:tc>
        <w:tc>
          <w:tcPr>
            <w:tcW w:w="867" w:type="pct"/>
            <w:vAlign w:val="center"/>
          </w:tcPr>
          <w:p w14:paraId="0162B333" w14:textId="77777777" w:rsidR="005E6DE6" w:rsidRDefault="005E6DE6" w:rsidP="00F01CA8">
            <w:pPr>
              <w:pStyle w:val="TableTextRight"/>
              <w:rPr>
                <w:rFonts w:ascii="Arial" w:hAnsi="Arial"/>
              </w:rPr>
            </w:pPr>
            <w:r>
              <w:rPr>
                <w:rFonts w:ascii="Helvetica" w:hAnsi="Helvetica" w:cs="Helvetica"/>
              </w:rPr>
              <w:t>-</w:t>
            </w:r>
          </w:p>
        </w:tc>
      </w:tr>
      <w:tr w:rsidR="005E6DE6" w:rsidRPr="004E0A23" w14:paraId="60854606" w14:textId="77777777" w:rsidTr="00F01CA8">
        <w:trPr>
          <w:trHeight w:val="289"/>
        </w:trPr>
        <w:tc>
          <w:tcPr>
            <w:tcW w:w="3266" w:type="pct"/>
            <w:tcMar>
              <w:left w:w="108" w:type="dxa"/>
              <w:right w:w="108" w:type="dxa"/>
            </w:tcMar>
          </w:tcPr>
          <w:p w14:paraId="78295AE7" w14:textId="77777777" w:rsidR="005E6DE6" w:rsidRPr="004E0A23" w:rsidRDefault="005E6DE6" w:rsidP="00F01CA8">
            <w:pPr>
              <w:pStyle w:val="TableTextBase"/>
            </w:pPr>
            <w:r w:rsidRPr="004E0A23">
              <w:t>Seconded Employees</w:t>
            </w:r>
          </w:p>
        </w:tc>
        <w:tc>
          <w:tcPr>
            <w:tcW w:w="867" w:type="pct"/>
            <w:vAlign w:val="center"/>
          </w:tcPr>
          <w:p w14:paraId="65915703" w14:textId="77777777" w:rsidR="005E6DE6" w:rsidRDefault="005E6DE6" w:rsidP="00F01CA8">
            <w:pPr>
              <w:pStyle w:val="TableTextRight"/>
              <w:rPr>
                <w:rFonts w:ascii="Helvetica" w:hAnsi="Helvetica" w:cs="Helvetica"/>
              </w:rPr>
            </w:pPr>
            <w:r>
              <w:rPr>
                <w:rFonts w:ascii="Helvetica" w:hAnsi="Helvetica" w:cs="Helvetica"/>
              </w:rPr>
              <w:t>570,022</w:t>
            </w:r>
          </w:p>
        </w:tc>
        <w:tc>
          <w:tcPr>
            <w:tcW w:w="867" w:type="pct"/>
            <w:vAlign w:val="center"/>
          </w:tcPr>
          <w:p w14:paraId="13C3FB1D" w14:textId="77777777" w:rsidR="005E6DE6" w:rsidRDefault="005E6DE6" w:rsidP="00F01CA8">
            <w:pPr>
              <w:pStyle w:val="TableTextRight"/>
              <w:rPr>
                <w:rFonts w:ascii="Arial" w:hAnsi="Arial"/>
              </w:rPr>
            </w:pPr>
            <w:r>
              <w:rPr>
                <w:rFonts w:ascii="Helvetica" w:hAnsi="Helvetica" w:cs="Helvetica"/>
              </w:rPr>
              <w:t>663,107</w:t>
            </w:r>
          </w:p>
        </w:tc>
      </w:tr>
      <w:tr w:rsidR="005E6DE6" w:rsidRPr="004E0A23" w14:paraId="00135C65" w14:textId="77777777" w:rsidTr="00F01CA8">
        <w:trPr>
          <w:trHeight w:val="242"/>
        </w:trPr>
        <w:tc>
          <w:tcPr>
            <w:tcW w:w="3266" w:type="pct"/>
            <w:tcMar>
              <w:left w:w="108" w:type="dxa"/>
              <w:right w:w="108" w:type="dxa"/>
            </w:tcMar>
          </w:tcPr>
          <w:p w14:paraId="73DC40BF" w14:textId="77777777" w:rsidR="005E6DE6" w:rsidRPr="004E0A23" w:rsidRDefault="005E6DE6" w:rsidP="00F01CA8">
            <w:pPr>
              <w:pStyle w:val="TableTextBase"/>
            </w:pPr>
            <w:r w:rsidRPr="004E0A23">
              <w:t>Office supplies</w:t>
            </w:r>
          </w:p>
        </w:tc>
        <w:tc>
          <w:tcPr>
            <w:tcW w:w="867" w:type="pct"/>
            <w:vAlign w:val="center"/>
          </w:tcPr>
          <w:p w14:paraId="63ACE728" w14:textId="77777777" w:rsidR="005E6DE6" w:rsidRDefault="005E6DE6" w:rsidP="00F01CA8">
            <w:pPr>
              <w:pStyle w:val="TableTextRight"/>
              <w:rPr>
                <w:rFonts w:ascii="Helvetica" w:hAnsi="Helvetica" w:cs="Helvetica"/>
              </w:rPr>
            </w:pPr>
            <w:r>
              <w:rPr>
                <w:rFonts w:ascii="Helvetica" w:hAnsi="Helvetica" w:cs="Helvetica"/>
              </w:rPr>
              <w:t>1,001</w:t>
            </w:r>
          </w:p>
        </w:tc>
        <w:tc>
          <w:tcPr>
            <w:tcW w:w="867" w:type="pct"/>
            <w:vAlign w:val="center"/>
          </w:tcPr>
          <w:p w14:paraId="7B2CC876" w14:textId="77777777" w:rsidR="005E6DE6" w:rsidRDefault="005E6DE6" w:rsidP="00F01CA8">
            <w:pPr>
              <w:pStyle w:val="TableTextRight"/>
              <w:rPr>
                <w:rFonts w:ascii="Arial" w:hAnsi="Arial"/>
                <w:snapToGrid w:val="0"/>
                <w:lang w:eastAsia="en-US"/>
              </w:rPr>
            </w:pPr>
            <w:r>
              <w:rPr>
                <w:rFonts w:ascii="Helvetica" w:hAnsi="Helvetica" w:cs="Helvetica"/>
              </w:rPr>
              <w:t>1,603</w:t>
            </w:r>
          </w:p>
        </w:tc>
      </w:tr>
      <w:tr w:rsidR="005E6DE6" w:rsidRPr="004E0A23" w14:paraId="72A6DE6D" w14:textId="77777777" w:rsidTr="00F01CA8">
        <w:trPr>
          <w:trHeight w:val="289"/>
        </w:trPr>
        <w:tc>
          <w:tcPr>
            <w:tcW w:w="3266" w:type="pct"/>
            <w:tcMar>
              <w:left w:w="108" w:type="dxa"/>
              <w:right w:w="108" w:type="dxa"/>
            </w:tcMar>
          </w:tcPr>
          <w:p w14:paraId="01CC362F" w14:textId="77777777" w:rsidR="005E6DE6" w:rsidRPr="004E0A23" w:rsidRDefault="005E6DE6" w:rsidP="00F01CA8">
            <w:pPr>
              <w:pStyle w:val="TableTextBase"/>
            </w:pPr>
            <w:r w:rsidRPr="004E0A23">
              <w:t>Publications and subscriptions</w:t>
            </w:r>
          </w:p>
        </w:tc>
        <w:tc>
          <w:tcPr>
            <w:tcW w:w="867" w:type="pct"/>
            <w:vAlign w:val="center"/>
          </w:tcPr>
          <w:p w14:paraId="124751FD" w14:textId="77777777" w:rsidR="005E6DE6" w:rsidRDefault="005E6DE6" w:rsidP="00F01CA8">
            <w:pPr>
              <w:pStyle w:val="TableTextRight"/>
              <w:rPr>
                <w:rFonts w:ascii="Helvetica" w:hAnsi="Helvetica" w:cs="Helvetica"/>
              </w:rPr>
            </w:pPr>
            <w:r>
              <w:rPr>
                <w:rFonts w:ascii="Helvetica" w:hAnsi="Helvetica" w:cs="Helvetica"/>
              </w:rPr>
              <w:t>-</w:t>
            </w:r>
          </w:p>
        </w:tc>
        <w:tc>
          <w:tcPr>
            <w:tcW w:w="867" w:type="pct"/>
            <w:vAlign w:val="center"/>
          </w:tcPr>
          <w:p w14:paraId="55211EC9" w14:textId="77777777" w:rsidR="005E6DE6" w:rsidRDefault="005E6DE6" w:rsidP="00F01CA8">
            <w:pPr>
              <w:pStyle w:val="TableTextRight"/>
              <w:rPr>
                <w:rFonts w:ascii="Arial" w:hAnsi="Arial"/>
                <w:snapToGrid w:val="0"/>
                <w:lang w:eastAsia="en-US"/>
              </w:rPr>
            </w:pPr>
            <w:r>
              <w:rPr>
                <w:rFonts w:ascii="Helvetica" w:hAnsi="Helvetica" w:cs="Helvetica"/>
              </w:rPr>
              <w:t>706</w:t>
            </w:r>
          </w:p>
        </w:tc>
      </w:tr>
      <w:tr w:rsidR="005E6DE6" w:rsidRPr="004E0A23" w14:paraId="2F1143C7" w14:textId="77777777" w:rsidTr="00F01CA8">
        <w:trPr>
          <w:trHeight w:val="289"/>
        </w:trPr>
        <w:tc>
          <w:tcPr>
            <w:tcW w:w="3266" w:type="pct"/>
            <w:tcMar>
              <w:left w:w="108" w:type="dxa"/>
              <w:right w:w="108" w:type="dxa"/>
            </w:tcMar>
          </w:tcPr>
          <w:p w14:paraId="06AFE853" w14:textId="77777777" w:rsidR="005E6DE6" w:rsidRPr="004E0A23" w:rsidRDefault="005E6DE6" w:rsidP="00F01CA8">
            <w:pPr>
              <w:pStyle w:val="TableTextBase"/>
            </w:pPr>
            <w:r w:rsidRPr="004E0A23">
              <w:t>Other supplier expenses</w:t>
            </w:r>
          </w:p>
        </w:tc>
        <w:tc>
          <w:tcPr>
            <w:tcW w:w="867" w:type="pct"/>
            <w:vAlign w:val="center"/>
          </w:tcPr>
          <w:p w14:paraId="25705AD9" w14:textId="77777777" w:rsidR="005E6DE6" w:rsidRDefault="005E6DE6" w:rsidP="00F01CA8">
            <w:pPr>
              <w:pStyle w:val="TableTextRight"/>
              <w:rPr>
                <w:rFonts w:ascii="Helvetica" w:hAnsi="Helvetica" w:cs="Helvetica"/>
              </w:rPr>
            </w:pPr>
            <w:r>
              <w:rPr>
                <w:rFonts w:ascii="Helvetica" w:hAnsi="Helvetica" w:cs="Helvetica"/>
              </w:rPr>
              <w:t>43,330</w:t>
            </w:r>
          </w:p>
        </w:tc>
        <w:tc>
          <w:tcPr>
            <w:tcW w:w="867" w:type="pct"/>
            <w:vAlign w:val="center"/>
          </w:tcPr>
          <w:p w14:paraId="6259EE21" w14:textId="77777777" w:rsidR="005E6DE6" w:rsidRDefault="005E6DE6" w:rsidP="00F01CA8">
            <w:pPr>
              <w:pStyle w:val="TableTextRight"/>
              <w:rPr>
                <w:rFonts w:ascii="Arial" w:hAnsi="Arial"/>
                <w:snapToGrid w:val="0"/>
                <w:lang w:eastAsia="en-US"/>
              </w:rPr>
            </w:pPr>
            <w:r>
              <w:rPr>
                <w:rFonts w:ascii="Helvetica" w:hAnsi="Helvetica" w:cs="Helvetica"/>
              </w:rPr>
              <w:t>33,321</w:t>
            </w:r>
          </w:p>
        </w:tc>
      </w:tr>
      <w:tr w:rsidR="005E6DE6" w:rsidRPr="00F01CA8" w14:paraId="2FBD3885" w14:textId="77777777" w:rsidTr="00F01CA8">
        <w:trPr>
          <w:trHeight w:val="289"/>
        </w:trPr>
        <w:tc>
          <w:tcPr>
            <w:tcW w:w="3266" w:type="pct"/>
            <w:tcMar>
              <w:left w:w="108" w:type="dxa"/>
              <w:right w:w="108" w:type="dxa"/>
            </w:tcMar>
          </w:tcPr>
          <w:p w14:paraId="4461F053" w14:textId="77777777" w:rsidR="005E6DE6" w:rsidRPr="00EF3EEF" w:rsidRDefault="005E6DE6" w:rsidP="00F01CA8">
            <w:pPr>
              <w:pStyle w:val="TableTextBase"/>
              <w:rPr>
                <w:b/>
                <w:i/>
              </w:rPr>
            </w:pPr>
            <w:r w:rsidRPr="00EF3EEF">
              <w:rPr>
                <w:b/>
                <w:i/>
              </w:rPr>
              <w:t xml:space="preserve">Total </w:t>
            </w:r>
            <w:r>
              <w:rPr>
                <w:b/>
                <w:i/>
              </w:rPr>
              <w:t>other</w:t>
            </w:r>
            <w:r w:rsidRPr="00EF3EEF">
              <w:rPr>
                <w:b/>
                <w:i/>
              </w:rPr>
              <w:t xml:space="preserve"> expenses</w:t>
            </w:r>
          </w:p>
        </w:tc>
        <w:tc>
          <w:tcPr>
            <w:tcW w:w="867" w:type="pct"/>
            <w:vAlign w:val="center"/>
          </w:tcPr>
          <w:p w14:paraId="7C4D817B" w14:textId="77777777" w:rsidR="005E6DE6" w:rsidRPr="00F01CA8" w:rsidRDefault="005E6DE6" w:rsidP="00F01CA8">
            <w:pPr>
              <w:pStyle w:val="TableTextRight"/>
              <w:rPr>
                <w:rFonts w:ascii="Arial" w:hAnsi="Arial"/>
                <w:b/>
                <w:i/>
                <w:iCs/>
              </w:rPr>
            </w:pPr>
            <w:r w:rsidRPr="00F01CA8">
              <w:rPr>
                <w:rFonts w:ascii="Arial" w:hAnsi="Arial"/>
                <w:b/>
                <w:i/>
                <w:iCs/>
              </w:rPr>
              <w:t>844,103</w:t>
            </w:r>
          </w:p>
        </w:tc>
        <w:tc>
          <w:tcPr>
            <w:tcW w:w="867" w:type="pct"/>
            <w:vAlign w:val="center"/>
          </w:tcPr>
          <w:p w14:paraId="446D4A03" w14:textId="77777777" w:rsidR="005E6DE6" w:rsidRPr="00F01CA8" w:rsidRDefault="005E6DE6" w:rsidP="00F01CA8">
            <w:pPr>
              <w:pStyle w:val="TableTextRight"/>
              <w:rPr>
                <w:rFonts w:ascii="Arial" w:hAnsi="Arial"/>
                <w:b/>
                <w:i/>
              </w:rPr>
            </w:pPr>
            <w:r w:rsidRPr="00F01CA8">
              <w:rPr>
                <w:rFonts w:ascii="Arial" w:hAnsi="Arial"/>
                <w:b/>
                <w:i/>
                <w:iCs/>
              </w:rPr>
              <w:t>881,797</w:t>
            </w:r>
          </w:p>
        </w:tc>
      </w:tr>
      <w:tr w:rsidR="005E6DE6" w:rsidRPr="00F01CA8" w14:paraId="2CD5103C" w14:textId="77777777" w:rsidTr="00F01CA8">
        <w:trPr>
          <w:trHeight w:val="277"/>
        </w:trPr>
        <w:tc>
          <w:tcPr>
            <w:tcW w:w="3266" w:type="pct"/>
            <w:tcMar>
              <w:left w:w="108" w:type="dxa"/>
              <w:right w:w="108" w:type="dxa"/>
            </w:tcMar>
          </w:tcPr>
          <w:p w14:paraId="092E2195" w14:textId="77777777" w:rsidR="005E6DE6" w:rsidRPr="004E0A23" w:rsidRDefault="005E6DE6" w:rsidP="00F01CA8">
            <w:pPr>
              <w:pStyle w:val="TableTextBase"/>
              <w:rPr>
                <w:rStyle w:val="Bold"/>
              </w:rPr>
            </w:pPr>
            <w:r w:rsidRPr="004E0A23">
              <w:rPr>
                <w:rStyle w:val="Bold"/>
              </w:rPr>
              <w:t>Total expenses</w:t>
            </w:r>
          </w:p>
        </w:tc>
        <w:tc>
          <w:tcPr>
            <w:tcW w:w="867" w:type="pct"/>
            <w:vAlign w:val="center"/>
          </w:tcPr>
          <w:p w14:paraId="49CB0DBF" w14:textId="77777777" w:rsidR="005E6DE6" w:rsidRPr="00F01CA8" w:rsidRDefault="005E6DE6" w:rsidP="00F01CA8">
            <w:pPr>
              <w:pStyle w:val="TableTextRight"/>
              <w:rPr>
                <w:rFonts w:ascii="Arial" w:hAnsi="Arial"/>
                <w:b/>
              </w:rPr>
            </w:pPr>
            <w:r w:rsidRPr="00F01CA8">
              <w:rPr>
                <w:rFonts w:ascii="Arial" w:hAnsi="Arial"/>
                <w:b/>
              </w:rPr>
              <w:t>2,310,426</w:t>
            </w:r>
          </w:p>
        </w:tc>
        <w:tc>
          <w:tcPr>
            <w:tcW w:w="867" w:type="pct"/>
            <w:vAlign w:val="center"/>
          </w:tcPr>
          <w:p w14:paraId="0DDB3035" w14:textId="77777777" w:rsidR="005E6DE6" w:rsidRPr="00F01CA8" w:rsidRDefault="005E6DE6" w:rsidP="00F01CA8">
            <w:pPr>
              <w:pStyle w:val="TableTextRight"/>
              <w:rPr>
                <w:rFonts w:ascii="Arial" w:hAnsi="Arial"/>
                <w:b/>
              </w:rPr>
            </w:pPr>
            <w:r w:rsidRPr="00F01CA8">
              <w:rPr>
                <w:rFonts w:ascii="Arial" w:hAnsi="Arial"/>
                <w:b/>
              </w:rPr>
              <w:t>2,407,633</w:t>
            </w:r>
          </w:p>
        </w:tc>
      </w:tr>
      <w:tr w:rsidR="005E6DE6" w:rsidRPr="00EE3B04" w14:paraId="64CEFE39" w14:textId="77777777" w:rsidTr="00F01CA8">
        <w:trPr>
          <w:trHeight w:val="301"/>
        </w:trPr>
        <w:tc>
          <w:tcPr>
            <w:tcW w:w="3266" w:type="pct"/>
            <w:tcBorders>
              <w:bottom w:val="single" w:sz="4" w:space="0" w:color="000000"/>
            </w:tcBorders>
            <w:tcMar>
              <w:left w:w="108" w:type="dxa"/>
              <w:right w:w="108" w:type="dxa"/>
            </w:tcMar>
          </w:tcPr>
          <w:p w14:paraId="04DCA35E" w14:textId="77777777" w:rsidR="005E6DE6" w:rsidRPr="004E0A23" w:rsidRDefault="005E6DE6" w:rsidP="00F01CA8">
            <w:pPr>
              <w:pStyle w:val="TableTextBase"/>
              <w:rPr>
                <w:rStyle w:val="Bold"/>
              </w:rPr>
            </w:pPr>
            <w:r w:rsidRPr="004E0A23">
              <w:rPr>
                <w:rStyle w:val="Bold"/>
              </w:rPr>
              <w:t>Operating surplus</w:t>
            </w:r>
          </w:p>
        </w:tc>
        <w:tc>
          <w:tcPr>
            <w:tcW w:w="867" w:type="pct"/>
            <w:tcBorders>
              <w:bottom w:val="single" w:sz="4" w:space="0" w:color="000000"/>
            </w:tcBorders>
            <w:vAlign w:val="center"/>
          </w:tcPr>
          <w:p w14:paraId="1F741143" w14:textId="77777777" w:rsidR="005E6DE6" w:rsidRDefault="005E6DE6" w:rsidP="00F01CA8">
            <w:pPr>
              <w:pStyle w:val="TableTextRight"/>
              <w:rPr>
                <w:rFonts w:ascii="Helvetica" w:hAnsi="Helvetica" w:cs="Helvetica"/>
              </w:rPr>
            </w:pPr>
            <w:r>
              <w:rPr>
                <w:rFonts w:ascii="Helvetica" w:hAnsi="Helvetica" w:cs="Helvetica"/>
              </w:rPr>
              <w:t>-</w:t>
            </w:r>
          </w:p>
        </w:tc>
        <w:tc>
          <w:tcPr>
            <w:tcW w:w="867" w:type="pct"/>
            <w:tcBorders>
              <w:bottom w:val="single" w:sz="4" w:space="0" w:color="000000"/>
            </w:tcBorders>
            <w:vAlign w:val="center"/>
          </w:tcPr>
          <w:p w14:paraId="42C6EF16" w14:textId="77777777" w:rsidR="005E6DE6" w:rsidRDefault="005E6DE6" w:rsidP="00F01CA8">
            <w:pPr>
              <w:pStyle w:val="TableTextRight"/>
              <w:rPr>
                <w:rFonts w:ascii="Helvetica" w:hAnsi="Helvetica"/>
                <w:snapToGrid w:val="0"/>
                <w:lang w:eastAsia="en-US"/>
              </w:rPr>
            </w:pPr>
            <w:r>
              <w:rPr>
                <w:rFonts w:ascii="Helvetica" w:hAnsi="Helvetica" w:cs="Helvetica"/>
              </w:rPr>
              <w:t>-</w:t>
            </w:r>
          </w:p>
        </w:tc>
      </w:tr>
    </w:tbl>
    <w:p w14:paraId="73FBCBBD" w14:textId="77777777" w:rsidR="005E6DE6" w:rsidRDefault="005E6DE6" w:rsidP="006439D5"/>
    <w:p w14:paraId="1DC3F53E" w14:textId="77777777" w:rsidR="006439D5" w:rsidRDefault="006439D5" w:rsidP="006439D5">
      <w:pPr>
        <w:pStyle w:val="TableMainHeading"/>
      </w:pPr>
      <w:bookmarkStart w:id="34" w:name="_Toc27652721"/>
      <w:r>
        <w:t xml:space="preserve">Table </w:t>
      </w:r>
      <w:r w:rsidR="00F01CA8">
        <w:t>9</w:t>
      </w:r>
      <w:r>
        <w:t>: Remuneration paid to non</w:t>
      </w:r>
      <w:r>
        <w:noBreakHyphen/>
        <w:t>government Board members, 2018</w:t>
      </w:r>
      <w:r>
        <w:noBreakHyphen/>
        <w:t>19</w:t>
      </w:r>
      <w:bookmarkEnd w:id="34"/>
    </w:p>
    <w:p w14:paraId="01A40E70" w14:textId="77777777" w:rsidR="00DD58A7" w:rsidRDefault="00DD58A7" w:rsidP="00DD58A7">
      <w:pPr>
        <w:pStyle w:val="TableGraphic"/>
      </w:pPr>
    </w:p>
    <w:tbl>
      <w:tblPr>
        <w:tblW w:w="0" w:type="auto"/>
        <w:tblInd w:w="108" w:type="dxa"/>
        <w:tblLayout w:type="fixed"/>
        <w:tblCellMar>
          <w:left w:w="30" w:type="dxa"/>
          <w:right w:w="30" w:type="dxa"/>
        </w:tblCellMar>
        <w:tblLook w:val="0000" w:firstRow="0" w:lastRow="0" w:firstColumn="0" w:lastColumn="0" w:noHBand="0" w:noVBand="0"/>
      </w:tblPr>
      <w:tblGrid>
        <w:gridCol w:w="5670"/>
        <w:gridCol w:w="2041"/>
      </w:tblGrid>
      <w:tr w:rsidR="005E6DE6" w:rsidRPr="003F4392" w14:paraId="5201CBDF" w14:textId="77777777" w:rsidTr="0060590A">
        <w:tc>
          <w:tcPr>
            <w:tcW w:w="5670" w:type="dxa"/>
            <w:tcBorders>
              <w:top w:val="single" w:sz="2" w:space="0" w:color="000080"/>
              <w:left w:val="single" w:sz="2" w:space="0" w:color="000080"/>
              <w:bottom w:val="single" w:sz="4" w:space="0" w:color="000080"/>
              <w:right w:val="nil"/>
            </w:tcBorders>
            <w:shd w:val="clear" w:color="auto" w:fill="000080"/>
            <w:tcMar>
              <w:left w:w="108" w:type="dxa"/>
              <w:right w:w="108" w:type="dxa"/>
            </w:tcMar>
          </w:tcPr>
          <w:p w14:paraId="0DCA9A09" w14:textId="77777777" w:rsidR="005E6DE6" w:rsidRPr="003F4392" w:rsidRDefault="005E6DE6" w:rsidP="0060590A">
            <w:pPr>
              <w:pStyle w:val="TableColumnHeading"/>
              <w:tabs>
                <w:tab w:val="left" w:pos="3433"/>
              </w:tabs>
              <w:rPr>
                <w:rFonts w:cs="Arial"/>
                <w:snapToGrid w:val="0"/>
                <w:color w:val="FFFFFF" w:themeColor="background1"/>
                <w:szCs w:val="18"/>
                <w:lang w:eastAsia="en-US"/>
              </w:rPr>
            </w:pPr>
            <w:r>
              <w:rPr>
                <w:rFonts w:cs="Arial"/>
                <w:snapToGrid w:val="0"/>
                <w:color w:val="FFFFFF" w:themeColor="background1"/>
                <w:szCs w:val="18"/>
                <w:lang w:eastAsia="en-US"/>
              </w:rPr>
              <w:t>Board Members 2018-19</w:t>
            </w:r>
          </w:p>
        </w:tc>
        <w:tc>
          <w:tcPr>
            <w:tcW w:w="2041" w:type="dxa"/>
            <w:tcBorders>
              <w:top w:val="single" w:sz="2" w:space="0" w:color="000080"/>
              <w:left w:val="nil"/>
              <w:bottom w:val="single" w:sz="4" w:space="0" w:color="000080"/>
              <w:right w:val="single" w:sz="2" w:space="0" w:color="000080"/>
            </w:tcBorders>
            <w:shd w:val="clear" w:color="auto" w:fill="000080"/>
            <w:tcMar>
              <w:left w:w="108" w:type="dxa"/>
              <w:right w:w="108" w:type="dxa"/>
            </w:tcMar>
          </w:tcPr>
          <w:p w14:paraId="3083F95A" w14:textId="77777777" w:rsidR="005E6DE6" w:rsidRPr="003F4392" w:rsidRDefault="005E6DE6" w:rsidP="0060590A">
            <w:pPr>
              <w:pStyle w:val="TableColumnHeading"/>
              <w:jc w:val="right"/>
              <w:rPr>
                <w:rFonts w:cs="Arial"/>
                <w:snapToGrid w:val="0"/>
                <w:color w:val="FFFFFF" w:themeColor="background1"/>
                <w:szCs w:val="18"/>
                <w:lang w:eastAsia="en-US"/>
              </w:rPr>
            </w:pPr>
            <w:r>
              <w:rPr>
                <w:rFonts w:cs="Arial"/>
                <w:snapToGrid w:val="0"/>
                <w:color w:val="FFFFFF" w:themeColor="background1"/>
                <w:szCs w:val="18"/>
                <w:lang w:eastAsia="en-US"/>
              </w:rPr>
              <w:t>$</w:t>
            </w:r>
          </w:p>
        </w:tc>
      </w:tr>
      <w:tr w:rsidR="005E6DE6" w:rsidRPr="003F4392" w14:paraId="53FD161F" w14:textId="77777777" w:rsidTr="0060590A">
        <w:tc>
          <w:tcPr>
            <w:tcW w:w="5670" w:type="dxa"/>
            <w:tcBorders>
              <w:top w:val="single" w:sz="4" w:space="0" w:color="C0C0C0"/>
              <w:left w:val="nil"/>
              <w:bottom w:val="single" w:sz="4" w:space="0" w:color="C0C0C0"/>
              <w:right w:val="nil"/>
            </w:tcBorders>
            <w:tcMar>
              <w:left w:w="108" w:type="dxa"/>
              <w:right w:w="108" w:type="dxa"/>
            </w:tcMar>
          </w:tcPr>
          <w:p w14:paraId="29F707DC" w14:textId="77777777" w:rsidR="005E6DE6" w:rsidRDefault="005E6DE6" w:rsidP="0060590A">
            <w:pPr>
              <w:pStyle w:val="TableTextLeft"/>
              <w:rPr>
                <w:color w:val="auto"/>
              </w:rPr>
            </w:pPr>
            <w:r w:rsidRPr="00C53640">
              <w:rPr>
                <w:rFonts w:cs="Arial"/>
                <w:b/>
                <w:snapToGrid w:val="0"/>
                <w:lang w:eastAsia="en-US"/>
              </w:rPr>
              <w:t>Total</w:t>
            </w:r>
          </w:p>
        </w:tc>
        <w:tc>
          <w:tcPr>
            <w:tcW w:w="2041" w:type="dxa"/>
            <w:tcBorders>
              <w:top w:val="single" w:sz="4" w:space="0" w:color="C0C0C0"/>
              <w:left w:val="nil"/>
              <w:bottom w:val="single" w:sz="4" w:space="0" w:color="C0C0C0"/>
              <w:right w:val="nil"/>
            </w:tcBorders>
            <w:tcMar>
              <w:left w:w="108" w:type="dxa"/>
              <w:right w:w="108" w:type="dxa"/>
            </w:tcMar>
          </w:tcPr>
          <w:p w14:paraId="04F55CFD" w14:textId="77777777" w:rsidR="005E6DE6" w:rsidRDefault="005E6DE6" w:rsidP="0060590A">
            <w:pPr>
              <w:pStyle w:val="TableTextRight"/>
              <w:rPr>
                <w:rFonts w:cs="Arial"/>
                <w:snapToGrid w:val="0"/>
                <w:lang w:eastAsia="en-US"/>
              </w:rPr>
            </w:pPr>
            <w:r>
              <w:rPr>
                <w:rFonts w:cs="Arial"/>
                <w:b/>
                <w:snapToGrid w:val="0"/>
                <w:color w:val="auto"/>
                <w:lang w:eastAsia="en-US"/>
              </w:rPr>
              <w:t>$512,765</w:t>
            </w:r>
          </w:p>
        </w:tc>
      </w:tr>
    </w:tbl>
    <w:p w14:paraId="2F4696A7" w14:textId="77777777" w:rsidR="00DD58A7" w:rsidRDefault="00DD58A7" w:rsidP="00DD58A7"/>
    <w:p w14:paraId="420E5404" w14:textId="01687CBF" w:rsidR="00DD58A7" w:rsidRPr="00DD58A7" w:rsidRDefault="00DD58A7" w:rsidP="00DD58A7">
      <w:r w:rsidRPr="00DD58A7">
        <w:t xml:space="preserve">Board members are remunerated in accordance with </w:t>
      </w:r>
      <w:r w:rsidRPr="00344281">
        <w:t xml:space="preserve">subsections 7(3) and 7(4) of the </w:t>
      </w:r>
      <w:r w:rsidRPr="00344281">
        <w:rPr>
          <w:i/>
        </w:rPr>
        <w:t>Remuneration Tribunal Act 1973</w:t>
      </w:r>
      <w:r w:rsidRPr="00344281">
        <w:t>.</w:t>
      </w:r>
      <w:r w:rsidRPr="00DD58A7">
        <w:t xml:space="preserve"> During 201</w:t>
      </w:r>
      <w:r>
        <w:t>8</w:t>
      </w:r>
      <w:r>
        <w:noBreakHyphen/>
        <w:t>19</w:t>
      </w:r>
      <w:r w:rsidRPr="00DD58A7">
        <w:t xml:space="preserve">, </w:t>
      </w:r>
      <w:r w:rsidR="00EE6D67">
        <w:t xml:space="preserve">two </w:t>
      </w:r>
      <w:r w:rsidRPr="00DD58A7">
        <w:t>remuneration determination</w:t>
      </w:r>
      <w:r w:rsidR="00EE6D67">
        <w:t>s applied, dated 25 June 2018 and 21 December 2018</w:t>
      </w:r>
      <w:r w:rsidRPr="00DD58A7">
        <w:t>.</w:t>
      </w:r>
    </w:p>
    <w:sectPr w:rsidR="00DD58A7" w:rsidRPr="00DD58A7" w:rsidSect="002611A8">
      <w:headerReference w:type="first" r:id="rId41"/>
      <w:footerReference w:type="first" r:id="rId42"/>
      <w:pgSz w:w="11909" w:h="16834" w:code="9"/>
      <w:pgMar w:top="1701" w:right="1701" w:bottom="1701" w:left="1701"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E1D73" w16cid:durableId="21A53306"/>
  <w16cid:commentId w16cid:paraId="0510FF6E" w16cid:durableId="21A5BB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7BD0" w14:textId="77777777" w:rsidR="00D23991" w:rsidRDefault="00D23991">
      <w:r>
        <w:separator/>
      </w:r>
    </w:p>
  </w:endnote>
  <w:endnote w:type="continuationSeparator" w:id="0">
    <w:p w14:paraId="2A721D55" w14:textId="77777777" w:rsidR="00D23991" w:rsidRDefault="00D23991">
      <w:r>
        <w:continuationSeparator/>
      </w:r>
    </w:p>
  </w:endnote>
  <w:endnote w:type="continuationNotice" w:id="1">
    <w:p w14:paraId="731905C6" w14:textId="77777777" w:rsidR="00D23991" w:rsidRDefault="00D23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092F" w14:textId="6F7C1C48" w:rsidR="00D23991" w:rsidRDefault="00D23991">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sidR="008E047F">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48E" w14:textId="025BBAD0" w:rsidR="00D23991" w:rsidRDefault="00D23991">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8E047F">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26CF" w14:textId="77777777" w:rsidR="00D23991" w:rsidRPr="00872DC9" w:rsidRDefault="00D23991" w:rsidP="00872DC9">
    <w:pPr>
      <w:pStyle w:val="HeadingBas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6F49" w14:textId="0B53886F" w:rsidR="00D23991" w:rsidRPr="00AE77FC" w:rsidRDefault="00D23991" w:rsidP="002F518F">
    <w:pPr>
      <w:pStyle w:val="FooterOdd"/>
    </w:pPr>
    <w:r w:rsidRPr="005317EF">
      <w:t xml:space="preserve">Page </w:t>
    </w:r>
    <w:r>
      <w:rPr>
        <w:rStyle w:val="PageNumber"/>
      </w:rPr>
      <w:fldChar w:fldCharType="begin"/>
    </w:r>
    <w:r>
      <w:rPr>
        <w:rStyle w:val="PageNumber"/>
      </w:rPr>
      <w:instrText xml:space="preserve"> PAGE  \* roman </w:instrText>
    </w:r>
    <w:r>
      <w:rPr>
        <w:rStyle w:val="PageNumber"/>
      </w:rPr>
      <w:fldChar w:fldCharType="separate"/>
    </w:r>
    <w:r w:rsidR="008E047F">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92F7" w14:textId="25B9AAE8" w:rsidR="00D23991" w:rsidRPr="00AE77FC" w:rsidRDefault="00D23991" w:rsidP="002F518F">
    <w:pPr>
      <w:pStyle w:val="FooterOdd"/>
    </w:pPr>
    <w:r w:rsidRPr="005317EF">
      <w:t xml:space="preserve">Page </w:t>
    </w:r>
    <w:r>
      <w:rPr>
        <w:rStyle w:val="PageNumber"/>
      </w:rPr>
      <w:fldChar w:fldCharType="begin"/>
    </w:r>
    <w:r>
      <w:rPr>
        <w:rStyle w:val="PageNumber"/>
      </w:rPr>
      <w:instrText xml:space="preserve"> PAGE  \* roman </w:instrText>
    </w:r>
    <w:r>
      <w:rPr>
        <w:rStyle w:val="PageNumber"/>
      </w:rPr>
      <w:fldChar w:fldCharType="separate"/>
    </w:r>
    <w:r w:rsidR="008E047F">
      <w:rPr>
        <w:rStyle w:val="PageNumber"/>
        <w:noProof/>
      </w:rPr>
      <w:t>v</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B4E2" w14:textId="60F6C3E3" w:rsidR="00D23991" w:rsidRPr="00AE77FC" w:rsidRDefault="00D23991" w:rsidP="002F518F">
    <w:pPr>
      <w:pStyle w:val="FooterEven"/>
    </w:pPr>
    <w:r w:rsidRPr="005317EF">
      <w:t xml:space="preserve">Page </w:t>
    </w:r>
    <w:r>
      <w:rPr>
        <w:rStyle w:val="PageNumber"/>
      </w:rPr>
      <w:fldChar w:fldCharType="begin"/>
    </w:r>
    <w:r>
      <w:rPr>
        <w:rStyle w:val="PageNumber"/>
      </w:rPr>
      <w:instrText xml:space="preserve"> PAGE  \* roman </w:instrText>
    </w:r>
    <w:r>
      <w:rPr>
        <w:rStyle w:val="PageNumber"/>
      </w:rPr>
      <w:fldChar w:fldCharType="separate"/>
    </w:r>
    <w:r w:rsidR="008E047F">
      <w:rPr>
        <w:rStyle w:val="PageNumber"/>
        <w:noProof/>
      </w:rPr>
      <w:t>vi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EDA" w14:textId="48E7C9E5" w:rsidR="00D23991" w:rsidRPr="00AE77FC" w:rsidRDefault="00D23991" w:rsidP="002F518F">
    <w:pPr>
      <w:pStyle w:val="FooterOdd"/>
    </w:pPr>
    <w:r w:rsidRPr="005317EF">
      <w:t xml:space="preserve">Page </w:t>
    </w:r>
    <w:r>
      <w:rPr>
        <w:rStyle w:val="PageNumber"/>
      </w:rPr>
      <w:fldChar w:fldCharType="begin"/>
    </w:r>
    <w:r>
      <w:rPr>
        <w:rStyle w:val="PageNumber"/>
      </w:rPr>
      <w:instrText xml:space="preserve"> PAGE  \* roman </w:instrText>
    </w:r>
    <w:r>
      <w:rPr>
        <w:rStyle w:val="PageNumber"/>
      </w:rPr>
      <w:fldChar w:fldCharType="separate"/>
    </w:r>
    <w:r w:rsidR="008E047F">
      <w:rPr>
        <w:rStyle w:val="PageNumber"/>
        <w:noProof/>
      </w:rPr>
      <w:t>vii</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845D" w14:textId="59B2DF54" w:rsidR="00D23991" w:rsidRPr="00AE77FC" w:rsidRDefault="00D23991" w:rsidP="002F518F">
    <w:pPr>
      <w:pStyle w:val="FooterEven"/>
    </w:pPr>
    <w:r w:rsidRPr="005317EF">
      <w:t xml:space="preserve">Page </w:t>
    </w:r>
    <w:r>
      <w:rPr>
        <w:rStyle w:val="PageNumber"/>
      </w:rPr>
      <w:fldChar w:fldCharType="begin"/>
    </w:r>
    <w:r>
      <w:rPr>
        <w:rStyle w:val="PageNumber"/>
      </w:rPr>
      <w:instrText xml:space="preserve"> PAGE  \* roman </w:instrText>
    </w:r>
    <w:r>
      <w:rPr>
        <w:rStyle w:val="PageNumber"/>
      </w:rPr>
      <w:fldChar w:fldCharType="separate"/>
    </w:r>
    <w:r w:rsidR="008E047F">
      <w:rPr>
        <w:rStyle w:val="PageNumber"/>
        <w:noProof/>
      </w:rPr>
      <w:t>ix</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E869" w14:textId="6F56EFB7" w:rsidR="00D23991" w:rsidRPr="00AE77FC" w:rsidRDefault="00D23991" w:rsidP="002F518F">
    <w:pPr>
      <w:pStyle w:val="FooterOdd"/>
    </w:pPr>
    <w:r w:rsidRPr="005317EF">
      <w:t xml:space="preserve">Page </w:t>
    </w:r>
    <w:r>
      <w:rPr>
        <w:rStyle w:val="PageNumber"/>
      </w:rPr>
      <w:fldChar w:fldCharType="begin"/>
    </w:r>
    <w:r>
      <w:rPr>
        <w:rStyle w:val="PageNumber"/>
      </w:rPr>
      <w:instrText xml:space="preserve"> PAGE  \* Arabic </w:instrText>
    </w:r>
    <w:r>
      <w:rPr>
        <w:rStyle w:val="PageNumber"/>
      </w:rPr>
      <w:fldChar w:fldCharType="separate"/>
    </w:r>
    <w:r w:rsidR="008E047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98AE7" w14:textId="77777777" w:rsidR="00D23991" w:rsidRDefault="00D23991">
      <w:r>
        <w:separator/>
      </w:r>
    </w:p>
  </w:footnote>
  <w:footnote w:type="continuationSeparator" w:id="0">
    <w:p w14:paraId="0299411D" w14:textId="77777777" w:rsidR="00D23991" w:rsidRDefault="00D23991">
      <w:r>
        <w:continuationSeparator/>
      </w:r>
    </w:p>
  </w:footnote>
  <w:footnote w:type="continuationNotice" w:id="1">
    <w:p w14:paraId="2762FDBD" w14:textId="77777777" w:rsidR="00D23991" w:rsidRDefault="00D23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A70A" w14:textId="2D842C14" w:rsidR="00D23991" w:rsidRPr="002F518F" w:rsidRDefault="00D23991" w:rsidP="002F518F">
    <w:pPr>
      <w:pStyle w:val="HeaderEven"/>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8BBA" w14:textId="3B750405" w:rsidR="00D23991" w:rsidRPr="002F518F" w:rsidRDefault="00D23991" w:rsidP="00E81495">
    <w:pPr>
      <w:pStyle w:val="HeaderOdd"/>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EA1A" w14:textId="7841F5AE" w:rsidR="00D23991" w:rsidRDefault="00D23991" w:rsidP="002F518F">
    <w:pPr>
      <w:pStyle w:val="HeaderOdd"/>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86F3" w14:textId="121CB48F" w:rsidR="00D23991" w:rsidRDefault="00D23991" w:rsidP="002F518F">
    <w:pPr>
      <w:pStyle w:val="HeaderEven"/>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2F1C" w14:textId="094EF22F" w:rsidR="00D23991" w:rsidRDefault="00D23991" w:rsidP="002F518F">
    <w:pPr>
      <w:pStyle w:val="HeaderOdd"/>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508F" w14:textId="0EEA4EC2" w:rsidR="00D23991" w:rsidRDefault="00D23991" w:rsidP="00872DC9">
    <w:pPr>
      <w:pStyle w:val="HeaderEven"/>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E3AC" w14:textId="42985357" w:rsidR="00D23991" w:rsidRDefault="00D23991" w:rsidP="002F518F">
    <w:pPr>
      <w:pStyle w:val="HeaderOdd"/>
    </w:pPr>
    <w:fldSimple w:instr=" STYLEREF  &quot;Cover Title Main&quot;  \* MERGEFORMAT ">
      <w:r w:rsidR="008E047F">
        <w:rPr>
          <w:noProof/>
        </w:rPr>
        <w:t>The Board of Taxation</w:t>
      </w:r>
    </w:fldSimple>
    <w:r>
      <w:t xml:space="preserve"> </w:t>
    </w:r>
    <w:fldSimple w:instr=" STYLEREF  &quot;Cover Title Sub&quot;  \* MERGEFORMAT ">
      <w:r w:rsidR="008E047F">
        <w:rPr>
          <w:noProof/>
        </w:rPr>
        <w:t>2018 — 2019 Annual Report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92C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CD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246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47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32C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E6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AE9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CC7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26C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D63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32"/>
    <w:multiLevelType w:val="multilevel"/>
    <w:tmpl w:val="57BA0010"/>
    <w:lvl w:ilvl="0">
      <w:start w:val="1"/>
      <w:numFmt w:val="bullet"/>
      <w:lvlText w:val=""/>
      <w:lvlJc w:val="left"/>
      <w:pPr>
        <w:tabs>
          <w:tab w:val="num" w:pos="520"/>
        </w:tabs>
        <w:ind w:left="520" w:hanging="520"/>
      </w:pPr>
      <w:rPr>
        <w:rFonts w:ascii="Wingdings" w:hAnsi="Wingdings" w:hint="default"/>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095359DB"/>
    <w:multiLevelType w:val="multilevel"/>
    <w:tmpl w:val="0008B562"/>
    <w:lvl w:ilvl="0">
      <w:start w:val="1"/>
      <w:numFmt w:val="bullet"/>
      <w:lvlText w:val=""/>
      <w:lvlJc w:val="left"/>
      <w:pPr>
        <w:tabs>
          <w:tab w:val="num" w:pos="520"/>
        </w:tabs>
        <w:ind w:left="520" w:hanging="520"/>
      </w:pPr>
      <w:rPr>
        <w:rFonts w:ascii="Symbol" w:hAnsi="Symbol" w:hint="default"/>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10C21F48"/>
    <w:multiLevelType w:val="singleLevel"/>
    <w:tmpl w:val="F0B87A5C"/>
    <w:name w:val="Case study bullet List"/>
    <w:lvl w:ilvl="0">
      <w:start w:val="1"/>
      <w:numFmt w:val="bullet"/>
      <w:lvlRestart w:val="0"/>
      <w:lvlText w:val="•"/>
      <w:lvlJc w:val="left"/>
      <w:pPr>
        <w:tabs>
          <w:tab w:val="num" w:pos="283"/>
        </w:tabs>
        <w:ind w:left="283" w:hanging="283"/>
      </w:pPr>
      <w:rPr>
        <w:rFonts w:ascii="Book Antiqua" w:hAnsi="Book Antiqua"/>
        <w:b w:val="0"/>
        <w:i w:val="0"/>
        <w:color w:val="000080"/>
        <w:sz w:val="16"/>
      </w:rPr>
    </w:lvl>
  </w:abstractNum>
  <w:abstractNum w:abstractNumId="13" w15:restartNumberingAfterBreak="0">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982466D"/>
    <w:multiLevelType w:val="multilevel"/>
    <w:tmpl w:val="C59A29C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4.%5"/>
      <w:lvlJc w:val="left"/>
      <w:pPr>
        <w:tabs>
          <w:tab w:val="num" w:pos="1418"/>
        </w:tabs>
        <w:ind w:left="1418" w:hanging="1418"/>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C960FD"/>
    <w:multiLevelType w:val="multilevel"/>
    <w:tmpl w:val="69265B00"/>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15:restartNumberingAfterBreak="0">
    <w:nsid w:val="1AE751AB"/>
    <w:multiLevelType w:val="multilevel"/>
    <w:tmpl w:val="89E0BCBA"/>
    <w:lvl w:ilvl="0">
      <w:start w:val="1"/>
      <w:numFmt w:val="decimal"/>
      <w:lvlRestart w:val="0"/>
      <w:pStyle w:val="ChapterHeading"/>
      <w:suff w:val="nothing"/>
      <w:lvlText w:val="Chapter %1"/>
      <w:lvlJc w:val="left"/>
      <w:pPr>
        <w:ind w:left="0" w:firstLine="0"/>
      </w:pPr>
      <w:rPr>
        <w:rFonts w:ascii="Times New Roman" w:hAnsi="Times New Roman" w:cs="Times New Roman" w:hint="default"/>
        <w:b w:val="0"/>
        <w:i w:val="0"/>
        <w:color w:val="000000"/>
      </w:rPr>
    </w:lvl>
    <w:lvl w:ilvl="1">
      <w:start w:val="1"/>
      <w:numFmt w:val="decimal"/>
      <w:pStyle w:val="NumberedParagraph"/>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7" w15:restartNumberingAfterBreak="0">
    <w:nsid w:val="20E521C0"/>
    <w:multiLevelType w:val="multilevel"/>
    <w:tmpl w:val="3F18F3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44237C5"/>
    <w:multiLevelType w:val="multilevel"/>
    <w:tmpl w:val="2054AD24"/>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rPr>
        <w:b w:val="0"/>
        <w:i w:val="0"/>
      </w:rPr>
    </w:lvl>
    <w:lvl w:ilvl="2">
      <w:start w:val="1"/>
      <w:numFmt w:val="decimal"/>
      <w:pStyle w:val="OutlineNumbered3"/>
      <w:lvlText w:val="%1.%2.%3."/>
      <w:lvlJc w:val="left"/>
      <w:pPr>
        <w:tabs>
          <w:tab w:val="num" w:pos="1560"/>
        </w:tabs>
        <w:ind w:left="1560" w:hanging="52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27440C8B"/>
    <w:multiLevelType w:val="multilevel"/>
    <w:tmpl w:val="923A2170"/>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15:restartNumberingAfterBreak="0">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2" w15:restartNumberingAfterBreak="0">
    <w:nsid w:val="2FD2372F"/>
    <w:multiLevelType w:val="multilevel"/>
    <w:tmpl w:val="35103160"/>
    <w:lvl w:ilvl="0">
      <w:start w:val="1"/>
      <w:numFmt w:val="decimal"/>
      <w:lvlRestart w:val="0"/>
      <w:suff w:val="nothing"/>
      <w:lvlText w:val=""/>
      <w:lvlJc w:val="left"/>
      <w:pPr>
        <w:ind w:left="0" w:firstLine="0"/>
      </w:pPr>
      <w:rPr>
        <w:rFonts w:ascii="Times New Roman" w:hAnsi="Times New Roman" w:cs="Times New Roman"/>
        <w:b w:val="0"/>
        <w:i w:val="0"/>
        <w:color w:val="000000"/>
      </w:rPr>
    </w:lvl>
    <w:lvl w:ilvl="1">
      <w:start w:val="1"/>
      <w:numFmt w:val="decimal"/>
      <w:lvlText w:val="%1.%2"/>
      <w:lvlJc w:val="left"/>
      <w:pPr>
        <w:tabs>
          <w:tab w:val="num" w:pos="850"/>
        </w:tabs>
        <w:ind w:left="0" w:firstLine="0"/>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3" w15:restartNumberingAfterBreak="0">
    <w:nsid w:val="3C857931"/>
    <w:multiLevelType w:val="singleLevel"/>
    <w:tmpl w:val="0C09000F"/>
    <w:lvl w:ilvl="0">
      <w:start w:val="1"/>
      <w:numFmt w:val="decimal"/>
      <w:lvlText w:val="%1."/>
      <w:lvlJc w:val="left"/>
      <w:pPr>
        <w:tabs>
          <w:tab w:val="num" w:pos="720"/>
        </w:tabs>
        <w:ind w:left="720" w:hanging="360"/>
      </w:pPr>
    </w:lvl>
  </w:abstractNum>
  <w:abstractNum w:abstractNumId="24" w15:restartNumberingAfterBreak="0">
    <w:nsid w:val="418B22D4"/>
    <w:multiLevelType w:val="singleLevel"/>
    <w:tmpl w:val="0C09000F"/>
    <w:lvl w:ilvl="0">
      <w:start w:val="1"/>
      <w:numFmt w:val="decimal"/>
      <w:lvlText w:val="%1."/>
      <w:lvlJc w:val="left"/>
      <w:pPr>
        <w:tabs>
          <w:tab w:val="num" w:pos="720"/>
        </w:tabs>
        <w:ind w:left="720" w:hanging="360"/>
      </w:pPr>
    </w:lvl>
  </w:abstractNum>
  <w:abstractNum w:abstractNumId="25" w15:restartNumberingAfterBreak="0">
    <w:nsid w:val="470A060D"/>
    <w:multiLevelType w:val="singleLevel"/>
    <w:tmpl w:val="C8DE61C2"/>
    <w:name w:val="RecommendationAlphaList"/>
    <w:lvl w:ilvl="0">
      <w:start w:val="1"/>
      <w:numFmt w:val="lowerLetter"/>
      <w:lvlRestart w:val="0"/>
      <w:lvlText w:val="(%1)"/>
      <w:lvlJc w:val="left"/>
      <w:pPr>
        <w:tabs>
          <w:tab w:val="num" w:pos="567"/>
        </w:tabs>
        <w:ind w:left="0" w:firstLine="0"/>
      </w:pPr>
      <w:rPr>
        <w:rFonts w:ascii="Times New Roman" w:hAnsi="Times New Roman" w:cs="Times New Roman"/>
        <w:b w:val="0"/>
        <w:i w:val="0"/>
        <w:color w:val="000080"/>
      </w:rPr>
    </w:lvl>
  </w:abstractNum>
  <w:abstractNum w:abstractNumId="26"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15:restartNumberingAfterBreak="0">
    <w:nsid w:val="51C00A89"/>
    <w:multiLevelType w:val="multilevel"/>
    <w:tmpl w:val="85DCC9D2"/>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28" w15:restartNumberingAfterBreak="0">
    <w:nsid w:val="535357C1"/>
    <w:multiLevelType w:val="singleLevel"/>
    <w:tmpl w:val="0C09000F"/>
    <w:lvl w:ilvl="0">
      <w:start w:val="1"/>
      <w:numFmt w:val="decimal"/>
      <w:lvlText w:val="%1."/>
      <w:lvlJc w:val="left"/>
      <w:pPr>
        <w:tabs>
          <w:tab w:val="num" w:pos="720"/>
        </w:tabs>
        <w:ind w:left="720" w:hanging="360"/>
      </w:pPr>
    </w:lvl>
  </w:abstractNum>
  <w:abstractNum w:abstractNumId="29" w15:restartNumberingAfterBreak="0">
    <w:nsid w:val="565C4E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101827"/>
    <w:multiLevelType w:val="multilevel"/>
    <w:tmpl w:val="072C6E52"/>
    <w:name w:val="BoxBulletedList"/>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5E0A6F8D"/>
    <w:multiLevelType w:val="multilevel"/>
    <w:tmpl w:val="51941ED6"/>
    <w:name w:val="RecommendationBulletedList"/>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15:restartNumberingAfterBreak="0">
    <w:nsid w:val="64F900A3"/>
    <w:multiLevelType w:val="hybridMultilevel"/>
    <w:tmpl w:val="D152BC38"/>
    <w:lvl w:ilvl="0" w:tplc="41026BF4">
      <w:start w:val="1"/>
      <w:numFmt w:val="decimal"/>
      <w:lvlText w:val="%1"/>
      <w:lvlJc w:val="left"/>
      <w:pPr>
        <w:ind w:left="2771" w:hanging="360"/>
      </w:pPr>
      <w:rPr>
        <w:rFonts w:ascii="Calibri" w:hAnsi="Calibri" w:hint="default"/>
        <w:vanish w:val="0"/>
        <w:sz w:val="48"/>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33" w15:restartNumberingAfterBreak="0">
    <w:nsid w:val="65FB0D17"/>
    <w:multiLevelType w:val="singleLevel"/>
    <w:tmpl w:val="0C09000F"/>
    <w:lvl w:ilvl="0">
      <w:start w:val="1"/>
      <w:numFmt w:val="decimal"/>
      <w:lvlText w:val="%1."/>
      <w:lvlJc w:val="left"/>
      <w:pPr>
        <w:tabs>
          <w:tab w:val="num" w:pos="720"/>
        </w:tabs>
        <w:ind w:left="720" w:hanging="360"/>
      </w:pPr>
    </w:lvl>
  </w:abstractNum>
  <w:abstractNum w:abstractNumId="34" w15:restartNumberingAfterBreak="0">
    <w:nsid w:val="662442AE"/>
    <w:multiLevelType w:val="singleLevel"/>
    <w:tmpl w:val="A87ABB18"/>
    <w:lvl w:ilvl="0">
      <w:start w:val="1"/>
      <w:numFmt w:val="lowerRoman"/>
      <w:lvlRestart w:val="0"/>
      <w:lvlText w:val="(%1)"/>
      <w:lvlJc w:val="left"/>
      <w:pPr>
        <w:tabs>
          <w:tab w:val="num" w:pos="567"/>
        </w:tabs>
        <w:ind w:left="0" w:firstLine="0"/>
      </w:pPr>
      <w:rPr>
        <w:rFonts w:ascii="Times New Roman" w:hAnsi="Times New Roman" w:cs="Times New Roman"/>
        <w:b w:val="0"/>
        <w:i w:val="0"/>
        <w:color w:val="000000"/>
      </w:rPr>
    </w:lvl>
  </w:abstractNum>
  <w:abstractNum w:abstractNumId="35" w15:restartNumberingAfterBreak="0">
    <w:nsid w:val="6C7D3635"/>
    <w:multiLevelType w:val="multilevel"/>
    <w:tmpl w:val="860CEC0C"/>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36" w15:restartNumberingAfterBreak="0">
    <w:nsid w:val="766C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9"/>
  </w:num>
  <w:num w:numId="3">
    <w:abstractNumId w:val="21"/>
  </w:num>
  <w:num w:numId="4">
    <w:abstractNumId w:val="26"/>
  </w:num>
  <w:num w:numId="5">
    <w:abstractNumId w:val="18"/>
  </w:num>
  <w:num w:numId="6">
    <w:abstractNumId w:val="18"/>
  </w:num>
  <w:num w:numId="7">
    <w:abstractNumId w:val="18"/>
  </w:num>
  <w:num w:numId="8">
    <w:abstractNumId w:val="37"/>
  </w:num>
  <w:num w:numId="9">
    <w:abstractNumId w:val="30"/>
  </w:num>
  <w:num w:numId="10">
    <w:abstractNumId w:val="15"/>
  </w:num>
  <w:num w:numId="11">
    <w:abstractNumId w:val="31"/>
  </w:num>
  <w:num w:numId="12">
    <w:abstractNumId w:val="16"/>
  </w:num>
  <w:num w:numId="13">
    <w:abstractNumId w:val="25"/>
  </w:num>
  <w:num w:numId="14">
    <w:abstractNumId w:val="34"/>
  </w:num>
  <w:num w:numId="15">
    <w:abstractNumId w:val="16"/>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2"/>
  </w:num>
  <w:num w:numId="29">
    <w:abstractNumId w:val="27"/>
  </w:num>
  <w:num w:numId="30">
    <w:abstractNumId w:val="36"/>
  </w:num>
  <w:num w:numId="31">
    <w:abstractNumId w:val="35"/>
  </w:num>
  <w:num w:numId="32">
    <w:abstractNumId w:val="32"/>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0"/>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F7"/>
    <w:rsid w:val="000012E2"/>
    <w:rsid w:val="0000362E"/>
    <w:rsid w:val="0001127A"/>
    <w:rsid w:val="000235F2"/>
    <w:rsid w:val="000244F2"/>
    <w:rsid w:val="0002619A"/>
    <w:rsid w:val="000261B6"/>
    <w:rsid w:val="000307BE"/>
    <w:rsid w:val="00031A68"/>
    <w:rsid w:val="00042D87"/>
    <w:rsid w:val="00051CE5"/>
    <w:rsid w:val="00055C8F"/>
    <w:rsid w:val="00056C77"/>
    <w:rsid w:val="00070788"/>
    <w:rsid w:val="00072649"/>
    <w:rsid w:val="00076691"/>
    <w:rsid w:val="000776F0"/>
    <w:rsid w:val="00091982"/>
    <w:rsid w:val="000A3BE2"/>
    <w:rsid w:val="000A4EA6"/>
    <w:rsid w:val="000B0255"/>
    <w:rsid w:val="000B241D"/>
    <w:rsid w:val="000B3467"/>
    <w:rsid w:val="000B436A"/>
    <w:rsid w:val="000C0901"/>
    <w:rsid w:val="000C0D64"/>
    <w:rsid w:val="000C5F49"/>
    <w:rsid w:val="000E0018"/>
    <w:rsid w:val="000E071D"/>
    <w:rsid w:val="000E0AEA"/>
    <w:rsid w:val="000E3CBF"/>
    <w:rsid w:val="000E566D"/>
    <w:rsid w:val="000E5A82"/>
    <w:rsid w:val="000E7A39"/>
    <w:rsid w:val="000F2BDB"/>
    <w:rsid w:val="001006DE"/>
    <w:rsid w:val="00101525"/>
    <w:rsid w:val="00104E97"/>
    <w:rsid w:val="00110130"/>
    <w:rsid w:val="00116BAF"/>
    <w:rsid w:val="001248A2"/>
    <w:rsid w:val="00130D51"/>
    <w:rsid w:val="0013111B"/>
    <w:rsid w:val="001313BA"/>
    <w:rsid w:val="00133449"/>
    <w:rsid w:val="001339B5"/>
    <w:rsid w:val="001561CF"/>
    <w:rsid w:val="001563DC"/>
    <w:rsid w:val="00161C74"/>
    <w:rsid w:val="00165509"/>
    <w:rsid w:val="00173BA4"/>
    <w:rsid w:val="00184149"/>
    <w:rsid w:val="00186A34"/>
    <w:rsid w:val="001911F5"/>
    <w:rsid w:val="00197D08"/>
    <w:rsid w:val="001E178D"/>
    <w:rsid w:val="001E21A8"/>
    <w:rsid w:val="001E297F"/>
    <w:rsid w:val="001E4636"/>
    <w:rsid w:val="001E6F05"/>
    <w:rsid w:val="001F43EF"/>
    <w:rsid w:val="00202272"/>
    <w:rsid w:val="00211ED2"/>
    <w:rsid w:val="00224511"/>
    <w:rsid w:val="002279FD"/>
    <w:rsid w:val="00237B01"/>
    <w:rsid w:val="002611A8"/>
    <w:rsid w:val="002617D8"/>
    <w:rsid w:val="00262771"/>
    <w:rsid w:val="00277FD1"/>
    <w:rsid w:val="00282B01"/>
    <w:rsid w:val="0029392F"/>
    <w:rsid w:val="0029440C"/>
    <w:rsid w:val="0029709C"/>
    <w:rsid w:val="002A2623"/>
    <w:rsid w:val="002A6181"/>
    <w:rsid w:val="002A72EB"/>
    <w:rsid w:val="002B3348"/>
    <w:rsid w:val="002C0A30"/>
    <w:rsid w:val="002C22AE"/>
    <w:rsid w:val="002C3BDE"/>
    <w:rsid w:val="002D1A91"/>
    <w:rsid w:val="002D4192"/>
    <w:rsid w:val="002E3023"/>
    <w:rsid w:val="002E6A92"/>
    <w:rsid w:val="002F2582"/>
    <w:rsid w:val="002F518F"/>
    <w:rsid w:val="00302A41"/>
    <w:rsid w:val="00305513"/>
    <w:rsid w:val="00311665"/>
    <w:rsid w:val="003209CA"/>
    <w:rsid w:val="003240D2"/>
    <w:rsid w:val="00327EA6"/>
    <w:rsid w:val="00344281"/>
    <w:rsid w:val="00346842"/>
    <w:rsid w:val="00351B2B"/>
    <w:rsid w:val="00354E9D"/>
    <w:rsid w:val="0035697B"/>
    <w:rsid w:val="00360A95"/>
    <w:rsid w:val="003634C4"/>
    <w:rsid w:val="00365107"/>
    <w:rsid w:val="00366E22"/>
    <w:rsid w:val="00374D4E"/>
    <w:rsid w:val="00387537"/>
    <w:rsid w:val="00387A2B"/>
    <w:rsid w:val="003A63CD"/>
    <w:rsid w:val="003A761F"/>
    <w:rsid w:val="003B566F"/>
    <w:rsid w:val="003C1514"/>
    <w:rsid w:val="003D1879"/>
    <w:rsid w:val="003E0393"/>
    <w:rsid w:val="003E2AAC"/>
    <w:rsid w:val="003E5B8E"/>
    <w:rsid w:val="003F759C"/>
    <w:rsid w:val="00402BD5"/>
    <w:rsid w:val="00407081"/>
    <w:rsid w:val="004073D4"/>
    <w:rsid w:val="00411A1D"/>
    <w:rsid w:val="00423DFF"/>
    <w:rsid w:val="00435AE8"/>
    <w:rsid w:val="004463A5"/>
    <w:rsid w:val="004660D5"/>
    <w:rsid w:val="004720D9"/>
    <w:rsid w:val="0047678F"/>
    <w:rsid w:val="0048191B"/>
    <w:rsid w:val="00486327"/>
    <w:rsid w:val="004909D9"/>
    <w:rsid w:val="00491B97"/>
    <w:rsid w:val="004A3322"/>
    <w:rsid w:val="004B5206"/>
    <w:rsid w:val="004D4DFC"/>
    <w:rsid w:val="004D5D33"/>
    <w:rsid w:val="004E031D"/>
    <w:rsid w:val="004E57FB"/>
    <w:rsid w:val="004E7189"/>
    <w:rsid w:val="004F5F96"/>
    <w:rsid w:val="004F643A"/>
    <w:rsid w:val="005032AC"/>
    <w:rsid w:val="005200E3"/>
    <w:rsid w:val="00522DE9"/>
    <w:rsid w:val="005359C2"/>
    <w:rsid w:val="00536491"/>
    <w:rsid w:val="0054354A"/>
    <w:rsid w:val="0054632E"/>
    <w:rsid w:val="0055212D"/>
    <w:rsid w:val="00567EE4"/>
    <w:rsid w:val="00574294"/>
    <w:rsid w:val="00581F1B"/>
    <w:rsid w:val="00587A42"/>
    <w:rsid w:val="0059235B"/>
    <w:rsid w:val="005934C1"/>
    <w:rsid w:val="005A0A1A"/>
    <w:rsid w:val="005A26A3"/>
    <w:rsid w:val="005A7BDB"/>
    <w:rsid w:val="005B5258"/>
    <w:rsid w:val="005B7EB4"/>
    <w:rsid w:val="005D11D0"/>
    <w:rsid w:val="005D4944"/>
    <w:rsid w:val="005D5342"/>
    <w:rsid w:val="005E2DD5"/>
    <w:rsid w:val="005E669C"/>
    <w:rsid w:val="005E6DE6"/>
    <w:rsid w:val="005F2F00"/>
    <w:rsid w:val="005F3509"/>
    <w:rsid w:val="005F6980"/>
    <w:rsid w:val="005F789C"/>
    <w:rsid w:val="00603D58"/>
    <w:rsid w:val="0060590A"/>
    <w:rsid w:val="00607DE0"/>
    <w:rsid w:val="006128AA"/>
    <w:rsid w:val="0061351A"/>
    <w:rsid w:val="00613C39"/>
    <w:rsid w:val="00621019"/>
    <w:rsid w:val="00622C85"/>
    <w:rsid w:val="00631DAE"/>
    <w:rsid w:val="00634C20"/>
    <w:rsid w:val="00640FCD"/>
    <w:rsid w:val="0064316F"/>
    <w:rsid w:val="006439D5"/>
    <w:rsid w:val="00647707"/>
    <w:rsid w:val="00655168"/>
    <w:rsid w:val="00655B68"/>
    <w:rsid w:val="006560D9"/>
    <w:rsid w:val="00661590"/>
    <w:rsid w:val="00667D75"/>
    <w:rsid w:val="00667E2A"/>
    <w:rsid w:val="006704F9"/>
    <w:rsid w:val="00670E97"/>
    <w:rsid w:val="00683089"/>
    <w:rsid w:val="00691490"/>
    <w:rsid w:val="00693299"/>
    <w:rsid w:val="006954DA"/>
    <w:rsid w:val="006A2CC8"/>
    <w:rsid w:val="006A3C44"/>
    <w:rsid w:val="006A595C"/>
    <w:rsid w:val="006B04EC"/>
    <w:rsid w:val="006D473D"/>
    <w:rsid w:val="006E0213"/>
    <w:rsid w:val="006E5992"/>
    <w:rsid w:val="00702B92"/>
    <w:rsid w:val="0070476A"/>
    <w:rsid w:val="00710F1D"/>
    <w:rsid w:val="00714848"/>
    <w:rsid w:val="00721A4A"/>
    <w:rsid w:val="00724CDC"/>
    <w:rsid w:val="00726340"/>
    <w:rsid w:val="0073173B"/>
    <w:rsid w:val="007337A3"/>
    <w:rsid w:val="00734EF7"/>
    <w:rsid w:val="00735A8E"/>
    <w:rsid w:val="007412B9"/>
    <w:rsid w:val="007420F7"/>
    <w:rsid w:val="00766D4E"/>
    <w:rsid w:val="00797809"/>
    <w:rsid w:val="007A18A7"/>
    <w:rsid w:val="007B7D4C"/>
    <w:rsid w:val="007C1D0D"/>
    <w:rsid w:val="007C4353"/>
    <w:rsid w:val="007D1419"/>
    <w:rsid w:val="007D3CC8"/>
    <w:rsid w:val="007E2130"/>
    <w:rsid w:val="007F12F5"/>
    <w:rsid w:val="007F2333"/>
    <w:rsid w:val="00801094"/>
    <w:rsid w:val="00801E6D"/>
    <w:rsid w:val="00805BD8"/>
    <w:rsid w:val="00805FD2"/>
    <w:rsid w:val="0082046C"/>
    <w:rsid w:val="008275AA"/>
    <w:rsid w:val="00827742"/>
    <w:rsid w:val="00830203"/>
    <w:rsid w:val="00830966"/>
    <w:rsid w:val="00844ED5"/>
    <w:rsid w:val="00847BD9"/>
    <w:rsid w:val="00860200"/>
    <w:rsid w:val="00862580"/>
    <w:rsid w:val="00871418"/>
    <w:rsid w:val="00872DC9"/>
    <w:rsid w:val="00874B10"/>
    <w:rsid w:val="008762EE"/>
    <w:rsid w:val="0088102A"/>
    <w:rsid w:val="00883033"/>
    <w:rsid w:val="00890940"/>
    <w:rsid w:val="00894489"/>
    <w:rsid w:val="008954B8"/>
    <w:rsid w:val="008A2360"/>
    <w:rsid w:val="008A7C8F"/>
    <w:rsid w:val="008B1F6E"/>
    <w:rsid w:val="008B4E85"/>
    <w:rsid w:val="008C24E1"/>
    <w:rsid w:val="008C4260"/>
    <w:rsid w:val="008C7040"/>
    <w:rsid w:val="008D1CD0"/>
    <w:rsid w:val="008D73C2"/>
    <w:rsid w:val="008E047F"/>
    <w:rsid w:val="008F53B5"/>
    <w:rsid w:val="008F7DFF"/>
    <w:rsid w:val="00901A34"/>
    <w:rsid w:val="00904240"/>
    <w:rsid w:val="009071A1"/>
    <w:rsid w:val="0091119A"/>
    <w:rsid w:val="00914B42"/>
    <w:rsid w:val="009210D6"/>
    <w:rsid w:val="00921266"/>
    <w:rsid w:val="00950628"/>
    <w:rsid w:val="00950D3B"/>
    <w:rsid w:val="00951E40"/>
    <w:rsid w:val="00957C32"/>
    <w:rsid w:val="0096135E"/>
    <w:rsid w:val="00985760"/>
    <w:rsid w:val="00994F39"/>
    <w:rsid w:val="009A73BF"/>
    <w:rsid w:val="009B04BB"/>
    <w:rsid w:val="009B4FD1"/>
    <w:rsid w:val="009C0F07"/>
    <w:rsid w:val="009D17B8"/>
    <w:rsid w:val="009D42DE"/>
    <w:rsid w:val="009D683E"/>
    <w:rsid w:val="009E135E"/>
    <w:rsid w:val="009E1788"/>
    <w:rsid w:val="009E1E0D"/>
    <w:rsid w:val="009E5B90"/>
    <w:rsid w:val="009F56C2"/>
    <w:rsid w:val="009F5FB1"/>
    <w:rsid w:val="009F7BBD"/>
    <w:rsid w:val="00A0126A"/>
    <w:rsid w:val="00A04E31"/>
    <w:rsid w:val="00A06480"/>
    <w:rsid w:val="00A06D9E"/>
    <w:rsid w:val="00A07258"/>
    <w:rsid w:val="00A12846"/>
    <w:rsid w:val="00A13265"/>
    <w:rsid w:val="00A1589D"/>
    <w:rsid w:val="00A15D88"/>
    <w:rsid w:val="00A25C3D"/>
    <w:rsid w:val="00A34BF1"/>
    <w:rsid w:val="00A425F2"/>
    <w:rsid w:val="00A55594"/>
    <w:rsid w:val="00A60B91"/>
    <w:rsid w:val="00A6691F"/>
    <w:rsid w:val="00A8426A"/>
    <w:rsid w:val="00AA2F13"/>
    <w:rsid w:val="00AB66DA"/>
    <w:rsid w:val="00AD161C"/>
    <w:rsid w:val="00AD2E42"/>
    <w:rsid w:val="00AD6594"/>
    <w:rsid w:val="00AE7B94"/>
    <w:rsid w:val="00AF66D2"/>
    <w:rsid w:val="00AF6F37"/>
    <w:rsid w:val="00B15C85"/>
    <w:rsid w:val="00B222B4"/>
    <w:rsid w:val="00B23781"/>
    <w:rsid w:val="00B249C8"/>
    <w:rsid w:val="00B266CA"/>
    <w:rsid w:val="00B30ABD"/>
    <w:rsid w:val="00B3200B"/>
    <w:rsid w:val="00B324DF"/>
    <w:rsid w:val="00B41E00"/>
    <w:rsid w:val="00B50534"/>
    <w:rsid w:val="00B5358D"/>
    <w:rsid w:val="00B53D0B"/>
    <w:rsid w:val="00B63ADF"/>
    <w:rsid w:val="00B67102"/>
    <w:rsid w:val="00B80C24"/>
    <w:rsid w:val="00B846DF"/>
    <w:rsid w:val="00B850A7"/>
    <w:rsid w:val="00B9117F"/>
    <w:rsid w:val="00B93034"/>
    <w:rsid w:val="00B93683"/>
    <w:rsid w:val="00BA02AE"/>
    <w:rsid w:val="00BA5BDE"/>
    <w:rsid w:val="00BA640E"/>
    <w:rsid w:val="00BC5A0E"/>
    <w:rsid w:val="00BC6DF1"/>
    <w:rsid w:val="00BD10C2"/>
    <w:rsid w:val="00BD6B07"/>
    <w:rsid w:val="00BD78CD"/>
    <w:rsid w:val="00BE4743"/>
    <w:rsid w:val="00BE67C0"/>
    <w:rsid w:val="00BF023C"/>
    <w:rsid w:val="00BF3B4F"/>
    <w:rsid w:val="00BF4D3B"/>
    <w:rsid w:val="00C01FD2"/>
    <w:rsid w:val="00C03002"/>
    <w:rsid w:val="00C05AAB"/>
    <w:rsid w:val="00C11301"/>
    <w:rsid w:val="00C14566"/>
    <w:rsid w:val="00C31A58"/>
    <w:rsid w:val="00C3228A"/>
    <w:rsid w:val="00C36B80"/>
    <w:rsid w:val="00C470DF"/>
    <w:rsid w:val="00C53A16"/>
    <w:rsid w:val="00C77E1B"/>
    <w:rsid w:val="00C863DE"/>
    <w:rsid w:val="00C87180"/>
    <w:rsid w:val="00C94425"/>
    <w:rsid w:val="00C96BA8"/>
    <w:rsid w:val="00CA3572"/>
    <w:rsid w:val="00CA44DF"/>
    <w:rsid w:val="00CB14A1"/>
    <w:rsid w:val="00CB3370"/>
    <w:rsid w:val="00CB3FDA"/>
    <w:rsid w:val="00CC7C3B"/>
    <w:rsid w:val="00CD3F9D"/>
    <w:rsid w:val="00CD666C"/>
    <w:rsid w:val="00CE3DB1"/>
    <w:rsid w:val="00CE7A85"/>
    <w:rsid w:val="00CF0A2C"/>
    <w:rsid w:val="00CF1690"/>
    <w:rsid w:val="00CF5A72"/>
    <w:rsid w:val="00D005C9"/>
    <w:rsid w:val="00D119F9"/>
    <w:rsid w:val="00D210C9"/>
    <w:rsid w:val="00D22160"/>
    <w:rsid w:val="00D23991"/>
    <w:rsid w:val="00D27DDA"/>
    <w:rsid w:val="00D301F7"/>
    <w:rsid w:val="00D3694F"/>
    <w:rsid w:val="00D57B85"/>
    <w:rsid w:val="00D632FA"/>
    <w:rsid w:val="00D64A42"/>
    <w:rsid w:val="00D64F5E"/>
    <w:rsid w:val="00D6520E"/>
    <w:rsid w:val="00D75318"/>
    <w:rsid w:val="00D76266"/>
    <w:rsid w:val="00D84A16"/>
    <w:rsid w:val="00D87C63"/>
    <w:rsid w:val="00DA13F0"/>
    <w:rsid w:val="00DA2878"/>
    <w:rsid w:val="00DA2E18"/>
    <w:rsid w:val="00DA65DF"/>
    <w:rsid w:val="00DB75F1"/>
    <w:rsid w:val="00DC66AC"/>
    <w:rsid w:val="00DD2975"/>
    <w:rsid w:val="00DD58A7"/>
    <w:rsid w:val="00DE0A9B"/>
    <w:rsid w:val="00DE3186"/>
    <w:rsid w:val="00DE57D2"/>
    <w:rsid w:val="00DF0FD7"/>
    <w:rsid w:val="00DF4F95"/>
    <w:rsid w:val="00E0296F"/>
    <w:rsid w:val="00E036E8"/>
    <w:rsid w:val="00E055FE"/>
    <w:rsid w:val="00E05A36"/>
    <w:rsid w:val="00E07DAB"/>
    <w:rsid w:val="00E1193E"/>
    <w:rsid w:val="00E267D8"/>
    <w:rsid w:val="00E26E2E"/>
    <w:rsid w:val="00E50FE0"/>
    <w:rsid w:val="00E60BDF"/>
    <w:rsid w:val="00E616EF"/>
    <w:rsid w:val="00E61DB1"/>
    <w:rsid w:val="00E63E26"/>
    <w:rsid w:val="00E73AA6"/>
    <w:rsid w:val="00E81495"/>
    <w:rsid w:val="00E816DC"/>
    <w:rsid w:val="00E82DBE"/>
    <w:rsid w:val="00E83DAE"/>
    <w:rsid w:val="00E877A8"/>
    <w:rsid w:val="00E9016A"/>
    <w:rsid w:val="00E95CB5"/>
    <w:rsid w:val="00EA10F4"/>
    <w:rsid w:val="00EB06CC"/>
    <w:rsid w:val="00EB07CD"/>
    <w:rsid w:val="00EB18B1"/>
    <w:rsid w:val="00EB3DFF"/>
    <w:rsid w:val="00EB5086"/>
    <w:rsid w:val="00EC7A92"/>
    <w:rsid w:val="00ED7355"/>
    <w:rsid w:val="00ED760F"/>
    <w:rsid w:val="00EE6D67"/>
    <w:rsid w:val="00F01CA8"/>
    <w:rsid w:val="00F05AA3"/>
    <w:rsid w:val="00F32E41"/>
    <w:rsid w:val="00F355CE"/>
    <w:rsid w:val="00F35B8F"/>
    <w:rsid w:val="00F45B12"/>
    <w:rsid w:val="00F525BF"/>
    <w:rsid w:val="00F56E3F"/>
    <w:rsid w:val="00F67BAE"/>
    <w:rsid w:val="00F73166"/>
    <w:rsid w:val="00F8433F"/>
    <w:rsid w:val="00FA3179"/>
    <w:rsid w:val="00FB10D8"/>
    <w:rsid w:val="00FB6E9C"/>
    <w:rsid w:val="00FC3A99"/>
    <w:rsid w:val="00FC4286"/>
    <w:rsid w:val="00FD3CD6"/>
    <w:rsid w:val="00FD4283"/>
    <w:rsid w:val="00FD5604"/>
    <w:rsid w:val="00FD684B"/>
    <w:rsid w:val="00FD6C3C"/>
    <w:rsid w:val="00FD6C8F"/>
    <w:rsid w:val="00FE1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716D5F"/>
  <w15:docId w15:val="{F8AB83AC-D5AE-440B-A088-2096E44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F2"/>
    <w:pPr>
      <w:spacing w:after="240" w:line="300" w:lineRule="exact"/>
      <w:jc w:val="both"/>
    </w:pPr>
    <w:rPr>
      <w:rFonts w:asciiTheme="minorHAnsi" w:hAnsiTheme="minorHAnsi"/>
      <w:color w:val="000000"/>
      <w:sz w:val="22"/>
      <w:szCs w:val="22"/>
    </w:rPr>
  </w:style>
  <w:style w:type="paragraph" w:styleId="Heading1">
    <w:name w:val="heading 1"/>
    <w:basedOn w:val="HeadingBase"/>
    <w:next w:val="Normal"/>
    <w:qFormat/>
    <w:rsid w:val="00872DC9"/>
    <w:pPr>
      <w:keepNext/>
      <w:pageBreakBefore/>
      <w:numPr>
        <w:numId w:val="36"/>
      </w:numPr>
      <w:spacing w:before="240" w:after="240"/>
      <w:outlineLvl w:val="0"/>
    </w:pPr>
    <w:rPr>
      <w:rFonts w:cs="Arial"/>
      <w:bCs/>
      <w:smallCaps/>
      <w:kern w:val="32"/>
      <w:sz w:val="48"/>
      <w:szCs w:val="38"/>
    </w:rPr>
  </w:style>
  <w:style w:type="paragraph" w:styleId="Heading2">
    <w:name w:val="heading 2"/>
    <w:basedOn w:val="HeadingBase"/>
    <w:next w:val="Normal"/>
    <w:qFormat/>
    <w:rsid w:val="009F7BBD"/>
    <w:pPr>
      <w:keepNext/>
      <w:numPr>
        <w:ilvl w:val="1"/>
        <w:numId w:val="36"/>
      </w:numPr>
      <w:spacing w:before="360" w:after="240"/>
      <w:outlineLvl w:val="1"/>
    </w:pPr>
    <w:rPr>
      <w:rFonts w:cs="Arial"/>
      <w:b/>
      <w:bCs/>
      <w:iCs/>
      <w:color w:val="1F497D" w:themeColor="text2"/>
      <w:sz w:val="36"/>
      <w:szCs w:val="30"/>
    </w:rPr>
  </w:style>
  <w:style w:type="paragraph" w:styleId="Heading3">
    <w:name w:val="heading 3"/>
    <w:basedOn w:val="HeadingBase"/>
    <w:next w:val="Normal"/>
    <w:qFormat/>
    <w:rsid w:val="00CE7A85"/>
    <w:pPr>
      <w:keepNext/>
      <w:numPr>
        <w:ilvl w:val="2"/>
        <w:numId w:val="36"/>
      </w:numPr>
      <w:spacing w:before="180" w:after="240"/>
      <w:outlineLvl w:val="2"/>
    </w:pPr>
    <w:rPr>
      <w:rFonts w:cs="Arial"/>
      <w:b/>
      <w:bCs/>
      <w:i/>
      <w:sz w:val="28"/>
      <w:szCs w:val="26"/>
    </w:rPr>
  </w:style>
  <w:style w:type="paragraph" w:styleId="Heading4">
    <w:name w:val="heading 4"/>
    <w:basedOn w:val="HeadingBase"/>
    <w:next w:val="Normal"/>
    <w:autoRedefine/>
    <w:qFormat/>
    <w:rsid w:val="00C470DF"/>
    <w:pPr>
      <w:keepNext/>
      <w:numPr>
        <w:ilvl w:val="3"/>
        <w:numId w:val="36"/>
      </w:numPr>
      <w:spacing w:before="120" w:after="120"/>
      <w:ind w:left="1418" w:hanging="1418"/>
      <w:outlineLvl w:val="3"/>
    </w:pPr>
    <w:rPr>
      <w:b/>
      <w:bCs/>
      <w:i/>
      <w:color w:val="1F497D" w:themeColor="text2"/>
      <w:sz w:val="24"/>
      <w:szCs w:val="23"/>
    </w:rPr>
  </w:style>
  <w:style w:type="paragraph" w:styleId="Heading5">
    <w:name w:val="heading 5"/>
    <w:basedOn w:val="HeadingBase"/>
    <w:next w:val="Normal"/>
    <w:qFormat/>
    <w:rsid w:val="00FD684B"/>
    <w:pPr>
      <w:numPr>
        <w:ilvl w:val="4"/>
        <w:numId w:val="36"/>
      </w:numPr>
      <w:tabs>
        <w:tab w:val="clear" w:pos="1418"/>
        <w:tab w:val="num" w:pos="1985"/>
      </w:tabs>
      <w:spacing w:before="240" w:after="120"/>
      <w:ind w:left="1985"/>
      <w:outlineLvl w:val="4"/>
    </w:pPr>
    <w:rPr>
      <w:b/>
      <w:bCs/>
      <w:iCs/>
      <w:sz w:val="22"/>
    </w:rPr>
  </w:style>
  <w:style w:type="paragraph" w:styleId="Heading6">
    <w:name w:val="heading 6"/>
    <w:basedOn w:val="HeadingBase"/>
    <w:next w:val="Normal"/>
    <w:qFormat/>
    <w:rsid w:val="00FD684B"/>
    <w:pPr>
      <w:numPr>
        <w:ilvl w:val="5"/>
        <w:numId w:val="36"/>
      </w:numPr>
      <w:tabs>
        <w:tab w:val="clear" w:pos="1701"/>
        <w:tab w:val="num" w:pos="2268"/>
      </w:tabs>
      <w:spacing w:before="120"/>
      <w:ind w:left="2268"/>
      <w:outlineLvl w:val="5"/>
    </w:pPr>
    <w:rPr>
      <w:bCs/>
      <w:i/>
      <w:sz w:val="22"/>
    </w:rPr>
  </w:style>
  <w:style w:type="paragraph" w:styleId="Heading7">
    <w:name w:val="heading 7"/>
    <w:basedOn w:val="HeadingBase"/>
    <w:next w:val="Normal"/>
    <w:qFormat/>
    <w:rsid w:val="005F6980"/>
    <w:pPr>
      <w:spacing w:after="120"/>
      <w:outlineLvl w:val="6"/>
    </w:pPr>
    <w:rPr>
      <w:szCs w:val="24"/>
    </w:rPr>
  </w:style>
  <w:style w:type="paragraph" w:styleId="Heading8">
    <w:name w:val="heading 8"/>
    <w:basedOn w:val="HeadingBase"/>
    <w:next w:val="Normal"/>
    <w:qFormat/>
    <w:rsid w:val="005F6980"/>
    <w:pPr>
      <w:spacing w:after="120"/>
      <w:outlineLvl w:val="7"/>
    </w:pPr>
    <w:rPr>
      <w:iCs/>
      <w:szCs w:val="24"/>
    </w:rPr>
  </w:style>
  <w:style w:type="paragraph" w:styleId="Heading9">
    <w:name w:val="heading 9"/>
    <w:basedOn w:val="HeadingBase"/>
    <w:next w:val="Normal"/>
    <w:qFormat/>
    <w:rsid w:val="005F6980"/>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9117F"/>
    <w:rPr>
      <w:rFonts w:asciiTheme="minorHAnsi" w:hAnsiTheme="minorHAnsi"/>
      <w:color w:val="000080"/>
      <w:szCs w:val="22"/>
    </w:rPr>
  </w:style>
  <w:style w:type="paragraph" w:customStyle="1" w:styleId="NumberedParagraph">
    <w:name w:val="Numbered Paragraph"/>
    <w:basedOn w:val="Normal"/>
    <w:rsid w:val="007E2130"/>
    <w:pPr>
      <w:numPr>
        <w:ilvl w:val="1"/>
        <w:numId w:val="15"/>
      </w:numPr>
    </w:pPr>
  </w:style>
  <w:style w:type="paragraph" w:customStyle="1" w:styleId="SingleParagraph">
    <w:name w:val="Single Paragraph"/>
    <w:basedOn w:val="Normal"/>
    <w:rsid w:val="005F6980"/>
    <w:pPr>
      <w:spacing w:after="0"/>
    </w:pPr>
  </w:style>
  <w:style w:type="character" w:styleId="Hyperlink">
    <w:name w:val="Hyperlink"/>
    <w:basedOn w:val="DefaultParagraphFont"/>
    <w:uiPriority w:val="99"/>
    <w:rsid w:val="005F6980"/>
    <w:rPr>
      <w:color w:val="0000FF"/>
      <w:u w:val="single"/>
    </w:rPr>
  </w:style>
  <w:style w:type="paragraph" w:customStyle="1" w:styleId="ChapterHeading">
    <w:name w:val="ChapterHeading"/>
    <w:basedOn w:val="HeadingBase"/>
    <w:next w:val="NumberedParagraph"/>
    <w:rsid w:val="004D5D33"/>
    <w:pPr>
      <w:numPr>
        <w:numId w:val="15"/>
      </w:numPr>
      <w:pBdr>
        <w:bottom w:val="dotted" w:sz="4" w:space="1" w:color="auto"/>
      </w:pBdr>
      <w:spacing w:before="720" w:after="800"/>
    </w:pPr>
    <w:rPr>
      <w:smallCaps/>
      <w:color w:val="000000"/>
      <w:sz w:val="38"/>
      <w:szCs w:val="38"/>
    </w:rPr>
  </w:style>
  <w:style w:type="character" w:styleId="PageNumber">
    <w:name w:val="page number"/>
    <w:basedOn w:val="DefaultParagraphFont"/>
    <w:rsid w:val="000235F2"/>
    <w:rPr>
      <w:rFonts w:ascii="Calibri" w:hAnsi="Calibri"/>
      <w:sz w:val="20"/>
    </w:rPr>
  </w:style>
  <w:style w:type="paragraph" w:customStyle="1" w:styleId="Bullet">
    <w:name w:val="Bullet"/>
    <w:basedOn w:val="Normal"/>
    <w:autoRedefine/>
    <w:qFormat/>
    <w:rsid w:val="00AE7B94"/>
    <w:pPr>
      <w:numPr>
        <w:numId w:val="1"/>
      </w:numPr>
      <w:ind w:left="522" w:hanging="522"/>
      <w:jc w:val="left"/>
    </w:pPr>
  </w:style>
  <w:style w:type="paragraph" w:customStyle="1" w:styleId="Dash">
    <w:name w:val="Dash"/>
    <w:basedOn w:val="Normal"/>
    <w:rsid w:val="005F6980"/>
    <w:pPr>
      <w:numPr>
        <w:ilvl w:val="1"/>
        <w:numId w:val="1"/>
      </w:numPr>
    </w:pPr>
  </w:style>
  <w:style w:type="paragraph" w:customStyle="1" w:styleId="DoubleDot">
    <w:name w:val="Double Dot"/>
    <w:basedOn w:val="Normal"/>
    <w:rsid w:val="005F6980"/>
    <w:pPr>
      <w:numPr>
        <w:ilvl w:val="2"/>
        <w:numId w:val="1"/>
      </w:numPr>
    </w:pPr>
  </w:style>
  <w:style w:type="paragraph" w:customStyle="1" w:styleId="OutlineNumbered1">
    <w:name w:val="Outline Numbered 1"/>
    <w:basedOn w:val="Normal"/>
    <w:rsid w:val="005F6980"/>
    <w:pPr>
      <w:numPr>
        <w:numId w:val="2"/>
      </w:numPr>
    </w:pPr>
  </w:style>
  <w:style w:type="paragraph" w:customStyle="1" w:styleId="OutlineNumbered2">
    <w:name w:val="Outline Numbered 2"/>
    <w:basedOn w:val="Normal"/>
    <w:rsid w:val="005F6980"/>
    <w:pPr>
      <w:numPr>
        <w:ilvl w:val="1"/>
        <w:numId w:val="2"/>
      </w:numPr>
    </w:pPr>
  </w:style>
  <w:style w:type="paragraph" w:customStyle="1" w:styleId="OutlineNumbered3">
    <w:name w:val="Outline Numbered 3"/>
    <w:basedOn w:val="Normal"/>
    <w:rsid w:val="005F6980"/>
    <w:pPr>
      <w:numPr>
        <w:ilvl w:val="2"/>
        <w:numId w:val="2"/>
      </w:numPr>
    </w:pPr>
  </w:style>
  <w:style w:type="paragraph" w:customStyle="1" w:styleId="AlphaParagraph">
    <w:name w:val="Alpha Paragraph"/>
    <w:basedOn w:val="Normal"/>
    <w:rsid w:val="005F6980"/>
    <w:pPr>
      <w:numPr>
        <w:numId w:val="3"/>
      </w:numPr>
    </w:pPr>
  </w:style>
  <w:style w:type="paragraph" w:customStyle="1" w:styleId="AppendixHeading">
    <w:name w:val="Appendix Heading"/>
    <w:basedOn w:val="HeadingBase"/>
    <w:next w:val="Normal"/>
    <w:rsid w:val="00CD3F9D"/>
    <w:pPr>
      <w:spacing w:before="720" w:after="800"/>
    </w:pPr>
    <w:rPr>
      <w:smallCaps/>
      <w:sz w:val="48"/>
      <w:szCs w:val="38"/>
    </w:rPr>
  </w:style>
  <w:style w:type="character" w:customStyle="1" w:styleId="Bold">
    <w:name w:val="Bold"/>
    <w:basedOn w:val="DefaultParagraphFont"/>
    <w:rsid w:val="005F6980"/>
    <w:rPr>
      <w:b/>
    </w:rPr>
  </w:style>
  <w:style w:type="paragraph" w:customStyle="1" w:styleId="ChartandTableFootnoteAlpha">
    <w:name w:val="Chart and Table Footnote Alpha"/>
    <w:rsid w:val="00CD3F9D"/>
    <w:pPr>
      <w:numPr>
        <w:numId w:val="4"/>
      </w:numPr>
      <w:ind w:left="284" w:hanging="284"/>
      <w:jc w:val="both"/>
    </w:pPr>
    <w:rPr>
      <w:rFonts w:asciiTheme="minorHAnsi" w:hAnsiTheme="minorHAnsi"/>
      <w:color w:val="000000"/>
      <w:sz w:val="18"/>
      <w:szCs w:val="16"/>
    </w:rPr>
  </w:style>
  <w:style w:type="paragraph" w:customStyle="1" w:styleId="ChartGraphic">
    <w:name w:val="Chart Graphic"/>
    <w:basedOn w:val="HeadingBase"/>
    <w:next w:val="Normal"/>
    <w:rsid w:val="005F6980"/>
    <w:pPr>
      <w:spacing w:after="20"/>
      <w:jc w:val="center"/>
    </w:pPr>
  </w:style>
  <w:style w:type="paragraph" w:customStyle="1" w:styleId="ChartMainHeading">
    <w:name w:val="Chart Main Heading"/>
    <w:basedOn w:val="HeadingBase"/>
    <w:next w:val="ChartGraphic"/>
    <w:rsid w:val="00CD3F9D"/>
    <w:pPr>
      <w:keepNext/>
      <w:spacing w:after="20"/>
      <w:jc w:val="center"/>
    </w:pPr>
    <w:rPr>
      <w:b/>
      <w:sz w:val="28"/>
    </w:rPr>
  </w:style>
  <w:style w:type="paragraph" w:customStyle="1" w:styleId="ChartorTableNote">
    <w:name w:val="Chart or Table Note"/>
    <w:next w:val="Normal"/>
    <w:rsid w:val="00CD3F9D"/>
    <w:pPr>
      <w:jc w:val="both"/>
    </w:pPr>
    <w:rPr>
      <w:rFonts w:asciiTheme="minorHAnsi" w:hAnsiTheme="minorHAnsi"/>
      <w:color w:val="000000"/>
      <w:sz w:val="18"/>
    </w:rPr>
  </w:style>
  <w:style w:type="paragraph" w:customStyle="1" w:styleId="ChartSecondHeading">
    <w:name w:val="Chart Second Heading"/>
    <w:basedOn w:val="HeadingBase"/>
    <w:next w:val="ChartGraphic"/>
    <w:rsid w:val="00CD3F9D"/>
    <w:pPr>
      <w:keepNext/>
      <w:spacing w:after="20"/>
      <w:jc w:val="center"/>
    </w:pPr>
    <w:rPr>
      <w:sz w:val="22"/>
    </w:rPr>
  </w:style>
  <w:style w:type="paragraph" w:customStyle="1" w:styleId="Classification">
    <w:name w:val="Classification"/>
    <w:basedOn w:val="HeadingBase"/>
    <w:next w:val="Normal"/>
    <w:rsid w:val="005F6980"/>
    <w:pPr>
      <w:spacing w:after="120"/>
      <w:jc w:val="center"/>
    </w:pPr>
    <w:rPr>
      <w:b/>
      <w:smallCaps/>
    </w:rPr>
  </w:style>
  <w:style w:type="paragraph" w:customStyle="1" w:styleId="ContentsHeading">
    <w:name w:val="Contents Heading"/>
    <w:basedOn w:val="HeadingBase"/>
    <w:next w:val="Normal"/>
    <w:rsid w:val="00FB6E9C"/>
    <w:pPr>
      <w:spacing w:before="240" w:after="240"/>
    </w:pPr>
    <w:rPr>
      <w:smallCaps/>
      <w:sz w:val="48"/>
      <w:szCs w:val="38"/>
    </w:rPr>
  </w:style>
  <w:style w:type="paragraph" w:customStyle="1" w:styleId="CoverTitleMain">
    <w:name w:val="Cover Title Main"/>
    <w:basedOn w:val="HeadingBase"/>
    <w:next w:val="Normal"/>
    <w:rsid w:val="00872DC9"/>
    <w:pPr>
      <w:spacing w:before="1800" w:after="240"/>
      <w:jc w:val="center"/>
    </w:pPr>
    <w:rPr>
      <w:b/>
      <w:caps/>
      <w:spacing w:val="20"/>
      <w:sz w:val="52"/>
      <w:szCs w:val="52"/>
    </w:rPr>
  </w:style>
  <w:style w:type="paragraph" w:customStyle="1" w:styleId="CoverTitleSub">
    <w:name w:val="Cover Title Sub"/>
    <w:basedOn w:val="HeadingBase"/>
    <w:rsid w:val="00872DC9"/>
    <w:pPr>
      <w:spacing w:before="360" w:after="2040" w:line="420" w:lineRule="exact"/>
      <w:jc w:val="center"/>
    </w:pPr>
    <w:rPr>
      <w:smallCaps/>
      <w:sz w:val="36"/>
      <w:szCs w:val="36"/>
    </w:rPr>
  </w:style>
  <w:style w:type="paragraph" w:customStyle="1" w:styleId="FooterEven">
    <w:name w:val="Footer Even"/>
    <w:basedOn w:val="Normal"/>
    <w:rsid w:val="00CD3F9D"/>
    <w:pPr>
      <w:spacing w:after="0" w:line="240" w:lineRule="auto"/>
      <w:jc w:val="left"/>
    </w:pPr>
    <w:rPr>
      <w:color w:val="000080"/>
      <w:sz w:val="18"/>
    </w:rPr>
  </w:style>
  <w:style w:type="paragraph" w:customStyle="1" w:styleId="FooterOdd">
    <w:name w:val="Footer Odd"/>
    <w:basedOn w:val="Normal"/>
    <w:rsid w:val="00CD3F9D"/>
    <w:pPr>
      <w:spacing w:after="0" w:line="240" w:lineRule="auto"/>
      <w:jc w:val="right"/>
    </w:pPr>
    <w:rPr>
      <w:color w:val="000080"/>
      <w:sz w:val="18"/>
    </w:rPr>
  </w:style>
  <w:style w:type="character" w:customStyle="1" w:styleId="FramedFooter">
    <w:name w:val="Framed Footer"/>
    <w:rsid w:val="005F6980"/>
    <w:rPr>
      <w:rFonts w:ascii="Arial" w:hAnsi="Arial"/>
      <w:color w:val="000080"/>
      <w:sz w:val="18"/>
      <w:szCs w:val="18"/>
    </w:rPr>
  </w:style>
  <w:style w:type="character" w:customStyle="1" w:styleId="FramedHeader">
    <w:name w:val="Framed Header"/>
    <w:basedOn w:val="DefaultParagraphFont"/>
    <w:rsid w:val="005F6980"/>
    <w:rPr>
      <w:rFonts w:ascii="Arial" w:hAnsi="Arial"/>
      <w:dstrike w:val="0"/>
      <w:color w:val="000080"/>
      <w:sz w:val="18"/>
      <w:szCs w:val="18"/>
      <w:vertAlign w:val="baseline"/>
    </w:rPr>
  </w:style>
  <w:style w:type="paragraph" w:customStyle="1" w:styleId="HeaderEven">
    <w:name w:val="Header Even"/>
    <w:basedOn w:val="Normal"/>
    <w:rsid w:val="00CD3F9D"/>
    <w:pPr>
      <w:spacing w:after="0" w:line="240" w:lineRule="auto"/>
      <w:jc w:val="left"/>
    </w:pPr>
    <w:rPr>
      <w:color w:val="000080"/>
      <w:sz w:val="18"/>
    </w:rPr>
  </w:style>
  <w:style w:type="paragraph" w:customStyle="1" w:styleId="HeaderOdd">
    <w:name w:val="Header Odd"/>
    <w:basedOn w:val="Normal"/>
    <w:rsid w:val="00CD3F9D"/>
    <w:pPr>
      <w:spacing w:after="0" w:line="240" w:lineRule="auto"/>
      <w:jc w:val="right"/>
    </w:pPr>
    <w:rPr>
      <w:color w:val="000080"/>
      <w:sz w:val="18"/>
    </w:rPr>
  </w:style>
  <w:style w:type="paragraph" w:styleId="NormalIndent">
    <w:name w:val="Normal Indent"/>
    <w:basedOn w:val="Normal"/>
    <w:rsid w:val="005F6980"/>
    <w:pPr>
      <w:ind w:left="567"/>
    </w:pPr>
    <w:rPr>
      <w:sz w:val="20"/>
    </w:rPr>
  </w:style>
  <w:style w:type="paragraph" w:customStyle="1" w:styleId="TableTextBase">
    <w:name w:val="Table Text Base"/>
    <w:rsid w:val="00A34BF1"/>
    <w:pPr>
      <w:spacing w:before="40" w:after="40"/>
    </w:pPr>
    <w:rPr>
      <w:rFonts w:ascii="Calibri" w:hAnsi="Calibri"/>
      <w:color w:val="000000"/>
      <w:sz w:val="21"/>
      <w:szCs w:val="18"/>
    </w:rPr>
  </w:style>
  <w:style w:type="paragraph" w:customStyle="1" w:styleId="TableColumnHeadingCentred">
    <w:name w:val="Table Column Heading Centred"/>
    <w:basedOn w:val="TableTextBase"/>
    <w:rsid w:val="005A26A3"/>
    <w:pPr>
      <w:spacing w:before="60" w:after="60"/>
      <w:jc w:val="center"/>
    </w:pPr>
    <w:rPr>
      <w:b/>
      <w:color w:val="FFFFFF" w:themeColor="background1"/>
    </w:rPr>
  </w:style>
  <w:style w:type="paragraph" w:customStyle="1" w:styleId="TableColumnHeadingLeft">
    <w:name w:val="Table Column Heading Left"/>
    <w:basedOn w:val="TableTextBase"/>
    <w:rsid w:val="00A34BF1"/>
    <w:pPr>
      <w:spacing w:before="60" w:after="60"/>
    </w:pPr>
    <w:rPr>
      <w:b/>
      <w:color w:val="FFFFFF" w:themeColor="background1"/>
    </w:rPr>
  </w:style>
  <w:style w:type="paragraph" w:customStyle="1" w:styleId="TableColumnHeadingRight">
    <w:name w:val="Table Column Heading Right"/>
    <w:basedOn w:val="TableTextBase"/>
    <w:rsid w:val="00A34BF1"/>
    <w:pPr>
      <w:spacing w:before="60" w:after="60"/>
      <w:jc w:val="right"/>
    </w:pPr>
    <w:rPr>
      <w:b/>
      <w:color w:val="FFFFFF" w:themeColor="background1"/>
    </w:rPr>
  </w:style>
  <w:style w:type="paragraph" w:customStyle="1" w:styleId="TableGraphic">
    <w:name w:val="Table Graphic"/>
    <w:basedOn w:val="HeadingBase"/>
    <w:next w:val="Normal"/>
    <w:rsid w:val="005F6980"/>
    <w:pPr>
      <w:spacing w:after="40"/>
      <w:ind w:right="-113"/>
    </w:pPr>
  </w:style>
  <w:style w:type="paragraph" w:customStyle="1" w:styleId="TableMainHeading">
    <w:name w:val="Table Main Heading"/>
    <w:basedOn w:val="HeadingBase"/>
    <w:next w:val="TableGraphic"/>
    <w:rsid w:val="008B1F6E"/>
    <w:pPr>
      <w:keepNext/>
      <w:spacing w:after="20"/>
    </w:pPr>
    <w:rPr>
      <w:b/>
      <w:sz w:val="28"/>
    </w:rPr>
  </w:style>
  <w:style w:type="paragraph" w:customStyle="1" w:styleId="TableMainHeadingContd">
    <w:name w:val="Table Main Heading Contd"/>
    <w:basedOn w:val="HeadingBase"/>
    <w:next w:val="TableGraphic"/>
    <w:rsid w:val="005F6980"/>
    <w:pPr>
      <w:keepNext/>
      <w:spacing w:after="20"/>
    </w:pPr>
    <w:rPr>
      <w:b/>
      <w:sz w:val="22"/>
    </w:rPr>
  </w:style>
  <w:style w:type="paragraph" w:customStyle="1" w:styleId="TableSecondHeading">
    <w:name w:val="Table Second Heading"/>
    <w:basedOn w:val="HeadingBase"/>
    <w:next w:val="TableGraphic"/>
    <w:rsid w:val="005F6980"/>
    <w:pPr>
      <w:keepNext/>
      <w:spacing w:after="20"/>
    </w:pPr>
  </w:style>
  <w:style w:type="paragraph" w:customStyle="1" w:styleId="TableTextCentered">
    <w:name w:val="Table Text Centered"/>
    <w:basedOn w:val="TableTextBase"/>
    <w:rsid w:val="00116BAF"/>
    <w:pPr>
      <w:jc w:val="center"/>
    </w:pPr>
  </w:style>
  <w:style w:type="paragraph" w:customStyle="1" w:styleId="TableTextIndented">
    <w:name w:val="Table Text Indented"/>
    <w:basedOn w:val="TableTextBase"/>
    <w:rsid w:val="00116BAF"/>
    <w:pPr>
      <w:ind w:left="284"/>
    </w:pPr>
  </w:style>
  <w:style w:type="paragraph" w:customStyle="1" w:styleId="TableTextLeft">
    <w:name w:val="Table Text Left"/>
    <w:basedOn w:val="TableTextBase"/>
    <w:rsid w:val="00116BAF"/>
  </w:style>
  <w:style w:type="paragraph" w:customStyle="1" w:styleId="TableTextRight">
    <w:name w:val="Table Text Right"/>
    <w:basedOn w:val="TableTextBase"/>
    <w:rsid w:val="00116BAF"/>
    <w:pPr>
      <w:jc w:val="right"/>
    </w:pPr>
  </w:style>
  <w:style w:type="paragraph" w:styleId="TOC1">
    <w:name w:val="toc 1"/>
    <w:basedOn w:val="HeadingBase"/>
    <w:next w:val="Normal"/>
    <w:uiPriority w:val="39"/>
    <w:rsid w:val="001911F5"/>
    <w:pPr>
      <w:tabs>
        <w:tab w:val="right" w:leader="dot" w:pos="7700"/>
      </w:tabs>
      <w:spacing w:before="240" w:after="40"/>
      <w:ind w:right="1134"/>
    </w:pPr>
    <w:rPr>
      <w:b/>
      <w:smallCaps/>
      <w:sz w:val="24"/>
    </w:rPr>
  </w:style>
  <w:style w:type="paragraph" w:styleId="TOC2">
    <w:name w:val="toc 2"/>
    <w:basedOn w:val="Normal"/>
    <w:next w:val="Normal"/>
    <w:uiPriority w:val="39"/>
    <w:rsid w:val="001911F5"/>
    <w:pPr>
      <w:tabs>
        <w:tab w:val="left" w:pos="567"/>
        <w:tab w:val="right" w:leader="dot" w:pos="7700"/>
      </w:tabs>
      <w:spacing w:before="60" w:after="60" w:line="240" w:lineRule="auto"/>
      <w:ind w:left="567" w:right="851"/>
      <w:jc w:val="left"/>
    </w:pPr>
    <w:rPr>
      <w:szCs w:val="20"/>
    </w:rPr>
  </w:style>
  <w:style w:type="paragraph" w:styleId="TOC3">
    <w:name w:val="toc 3"/>
    <w:basedOn w:val="TOC2"/>
    <w:next w:val="Normal"/>
    <w:uiPriority w:val="39"/>
    <w:rsid w:val="000235F2"/>
    <w:rPr>
      <w:noProof/>
    </w:rPr>
  </w:style>
  <w:style w:type="paragraph" w:styleId="TOC4">
    <w:name w:val="toc 4"/>
    <w:basedOn w:val="Normal"/>
    <w:next w:val="Normal"/>
    <w:uiPriority w:val="39"/>
    <w:rsid w:val="001911F5"/>
    <w:pPr>
      <w:tabs>
        <w:tab w:val="right" w:leader="dot" w:pos="7700"/>
      </w:tabs>
      <w:spacing w:after="0" w:line="240" w:lineRule="auto"/>
      <w:ind w:left="567" w:right="851"/>
    </w:pPr>
  </w:style>
  <w:style w:type="character" w:customStyle="1" w:styleId="italic">
    <w:name w:val="italic"/>
    <w:basedOn w:val="DefaultParagraphFont"/>
    <w:rsid w:val="005F6980"/>
    <w:rPr>
      <w:i/>
    </w:rPr>
  </w:style>
  <w:style w:type="paragraph" w:customStyle="1" w:styleId="CoverTitleSub2">
    <w:name w:val="Cover Title Sub 2"/>
    <w:basedOn w:val="HeadingBase"/>
    <w:rsid w:val="007F2333"/>
    <w:pPr>
      <w:spacing w:before="120" w:after="120" w:line="420" w:lineRule="exact"/>
      <w:jc w:val="center"/>
    </w:pPr>
    <w:rPr>
      <w:smallCaps/>
      <w:sz w:val="28"/>
      <w:szCs w:val="28"/>
    </w:rPr>
  </w:style>
  <w:style w:type="character" w:styleId="FootnoteReference">
    <w:name w:val="footnote reference"/>
    <w:basedOn w:val="DefaultParagraphFont"/>
    <w:rsid w:val="005F6980"/>
    <w:rPr>
      <w:sz w:val="20"/>
      <w:szCs w:val="20"/>
      <w:vertAlign w:val="superscript"/>
    </w:rPr>
  </w:style>
  <w:style w:type="paragraph" w:styleId="FootnoteText">
    <w:name w:val="footnote text"/>
    <w:basedOn w:val="Normal"/>
    <w:link w:val="FootnoteTextChar"/>
    <w:uiPriority w:val="99"/>
    <w:rsid w:val="005F6980"/>
    <w:pPr>
      <w:spacing w:after="0" w:line="240" w:lineRule="auto"/>
      <w:ind w:left="567" w:hanging="567"/>
    </w:pPr>
    <w:rPr>
      <w:sz w:val="18"/>
      <w:szCs w:val="18"/>
    </w:rPr>
  </w:style>
  <w:style w:type="table" w:styleId="TableContemporary">
    <w:name w:val="Table Contemporary"/>
    <w:basedOn w:val="TableNormal"/>
    <w:rsid w:val="005F6980"/>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5F6980"/>
    <w:rPr>
      <w:b/>
      <w:i/>
    </w:rPr>
  </w:style>
  <w:style w:type="paragraph" w:customStyle="1" w:styleId="Graphic">
    <w:name w:val="Graphic"/>
    <w:basedOn w:val="Normal"/>
    <w:rsid w:val="005F6980"/>
    <w:pPr>
      <w:spacing w:after="0" w:line="240" w:lineRule="auto"/>
      <w:jc w:val="center"/>
    </w:p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paragraph" w:customStyle="1" w:styleId="TableBullet">
    <w:name w:val="Table Bullet"/>
    <w:basedOn w:val="TableTextBase"/>
    <w:rsid w:val="00C01FD2"/>
  </w:style>
  <w:style w:type="paragraph" w:styleId="BalloonText">
    <w:name w:val="Balloon Text"/>
    <w:basedOn w:val="Normal"/>
    <w:link w:val="BalloonTextChar"/>
    <w:rsid w:val="0002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5F2"/>
    <w:rPr>
      <w:rFonts w:ascii="Tahoma" w:hAnsi="Tahoma" w:cs="Tahoma"/>
      <w:color w:val="000000"/>
      <w:sz w:val="16"/>
      <w:szCs w:val="16"/>
    </w:rPr>
  </w:style>
  <w:style w:type="table" w:styleId="TableGrid">
    <w:name w:val="Table Grid"/>
    <w:basedOn w:val="TableNormal"/>
    <w:uiPriority w:val="59"/>
    <w:rsid w:val="00FD684B"/>
    <w:rPr>
      <w:rFonts w:asciiTheme="minorHAnsi" w:hAnsiTheme="minorHAnsi"/>
      <w:sz w:val="21"/>
    </w:rPr>
    <w:tblPr>
      <w:tblBorders>
        <w:top w:val="single" w:sz="4" w:space="0" w:color="3F6294"/>
        <w:left w:val="single" w:sz="4" w:space="0" w:color="3F6294"/>
        <w:bottom w:val="single" w:sz="4" w:space="0" w:color="3F6294"/>
        <w:right w:val="single" w:sz="4" w:space="0" w:color="3F6294"/>
      </w:tblBorders>
    </w:tblPr>
    <w:tcPr>
      <w:shd w:val="clear" w:color="auto" w:fill="DBE5F1" w:themeFill="accent1" w:themeFillTint="33"/>
    </w:tcPr>
    <w:tblStylePr w:type="firstRow">
      <w:rPr>
        <w:color w:val="FFFFFF" w:themeColor="background1"/>
      </w:rPr>
      <w:tblPr/>
      <w:tcPr>
        <w:shd w:val="clear" w:color="auto" w:fill="3F6294"/>
      </w:tcPr>
    </w:tblStylePr>
  </w:style>
  <w:style w:type="paragraph" w:customStyle="1" w:styleId="PreChapterHeading">
    <w:name w:val="PreChapter Heading"/>
    <w:basedOn w:val="Heading1"/>
    <w:next w:val="Normal"/>
    <w:qFormat/>
    <w:rsid w:val="004E57FB"/>
    <w:pPr>
      <w:numPr>
        <w:numId w:val="0"/>
      </w:numPr>
    </w:pPr>
  </w:style>
  <w:style w:type="paragraph" w:styleId="ListParagraph">
    <w:name w:val="List Paragraph"/>
    <w:basedOn w:val="Normal"/>
    <w:uiPriority w:val="34"/>
    <w:qFormat/>
    <w:rsid w:val="008B1F6E"/>
    <w:pPr>
      <w:ind w:left="720"/>
      <w:contextualSpacing/>
    </w:pPr>
  </w:style>
  <w:style w:type="paragraph" w:styleId="Header">
    <w:name w:val="header"/>
    <w:basedOn w:val="Normal"/>
    <w:link w:val="HeaderChar"/>
    <w:rsid w:val="00E81495"/>
    <w:pPr>
      <w:tabs>
        <w:tab w:val="center" w:pos="4513"/>
        <w:tab w:val="right" w:pos="9026"/>
      </w:tabs>
      <w:spacing w:after="0" w:line="240" w:lineRule="auto"/>
    </w:pPr>
  </w:style>
  <w:style w:type="character" w:customStyle="1" w:styleId="HeaderChar">
    <w:name w:val="Header Char"/>
    <w:basedOn w:val="DefaultParagraphFont"/>
    <w:link w:val="Header"/>
    <w:rsid w:val="00E81495"/>
    <w:rPr>
      <w:rFonts w:asciiTheme="minorHAnsi" w:hAnsiTheme="minorHAnsi"/>
      <w:color w:val="000000"/>
      <w:sz w:val="22"/>
      <w:szCs w:val="22"/>
    </w:rPr>
  </w:style>
  <w:style w:type="paragraph" w:styleId="Footer">
    <w:name w:val="footer"/>
    <w:basedOn w:val="Normal"/>
    <w:link w:val="FooterChar"/>
    <w:rsid w:val="00E81495"/>
    <w:pPr>
      <w:tabs>
        <w:tab w:val="center" w:pos="4513"/>
        <w:tab w:val="right" w:pos="9026"/>
      </w:tabs>
      <w:spacing w:after="0" w:line="240" w:lineRule="auto"/>
    </w:pPr>
  </w:style>
  <w:style w:type="character" w:customStyle="1" w:styleId="FooterChar">
    <w:name w:val="Footer Char"/>
    <w:basedOn w:val="DefaultParagraphFont"/>
    <w:link w:val="Footer"/>
    <w:rsid w:val="00E81495"/>
    <w:rPr>
      <w:rFonts w:asciiTheme="minorHAnsi" w:hAnsiTheme="minorHAnsi"/>
      <w:color w:val="000000"/>
      <w:sz w:val="22"/>
      <w:szCs w:val="22"/>
    </w:rPr>
  </w:style>
  <w:style w:type="paragraph" w:styleId="NoSpacing">
    <w:name w:val="No Spacing"/>
    <w:uiPriority w:val="1"/>
    <w:qFormat/>
    <w:rsid w:val="00FD684B"/>
    <w:pPr>
      <w:jc w:val="both"/>
    </w:pPr>
    <w:rPr>
      <w:rFonts w:asciiTheme="minorHAnsi" w:hAnsiTheme="minorHAnsi"/>
      <w:color w:val="000000"/>
      <w:sz w:val="22"/>
      <w:szCs w:val="22"/>
    </w:rPr>
  </w:style>
  <w:style w:type="paragraph" w:styleId="NormalWeb">
    <w:name w:val="Normal (Web)"/>
    <w:basedOn w:val="Normal"/>
    <w:uiPriority w:val="99"/>
    <w:unhideWhenUsed/>
    <w:rsid w:val="000B0255"/>
    <w:pPr>
      <w:spacing w:before="100" w:beforeAutospacing="1" w:after="100" w:afterAutospacing="1" w:line="240" w:lineRule="auto"/>
      <w:jc w:val="left"/>
    </w:pPr>
    <w:rPr>
      <w:rFonts w:ascii="Times New Roman" w:hAnsi="Times New Roman"/>
      <w:color w:val="auto"/>
      <w:sz w:val="24"/>
      <w:szCs w:val="24"/>
    </w:rPr>
  </w:style>
  <w:style w:type="character" w:styleId="CommentReference">
    <w:name w:val="annotation reference"/>
    <w:basedOn w:val="DefaultParagraphFont"/>
    <w:semiHidden/>
    <w:unhideWhenUsed/>
    <w:rsid w:val="000C0901"/>
    <w:rPr>
      <w:sz w:val="16"/>
      <w:szCs w:val="16"/>
    </w:rPr>
  </w:style>
  <w:style w:type="paragraph" w:styleId="CommentText">
    <w:name w:val="annotation text"/>
    <w:basedOn w:val="Normal"/>
    <w:link w:val="CommentTextChar"/>
    <w:semiHidden/>
    <w:unhideWhenUsed/>
    <w:rsid w:val="000C0901"/>
    <w:pPr>
      <w:spacing w:line="240" w:lineRule="auto"/>
    </w:pPr>
    <w:rPr>
      <w:sz w:val="20"/>
      <w:szCs w:val="20"/>
    </w:rPr>
  </w:style>
  <w:style w:type="character" w:customStyle="1" w:styleId="CommentTextChar">
    <w:name w:val="Comment Text Char"/>
    <w:basedOn w:val="DefaultParagraphFont"/>
    <w:link w:val="CommentText"/>
    <w:semiHidden/>
    <w:rsid w:val="000C0901"/>
    <w:rPr>
      <w:rFonts w:asciiTheme="minorHAnsi" w:hAnsiTheme="minorHAnsi"/>
      <w:color w:val="000000"/>
    </w:rPr>
  </w:style>
  <w:style w:type="paragraph" w:styleId="CommentSubject">
    <w:name w:val="annotation subject"/>
    <w:basedOn w:val="CommentText"/>
    <w:next w:val="CommentText"/>
    <w:link w:val="CommentSubjectChar"/>
    <w:semiHidden/>
    <w:unhideWhenUsed/>
    <w:rsid w:val="000C0901"/>
    <w:rPr>
      <w:b/>
      <w:bCs/>
    </w:rPr>
  </w:style>
  <w:style w:type="character" w:customStyle="1" w:styleId="CommentSubjectChar">
    <w:name w:val="Comment Subject Char"/>
    <w:basedOn w:val="CommentTextChar"/>
    <w:link w:val="CommentSubject"/>
    <w:semiHidden/>
    <w:rsid w:val="000C0901"/>
    <w:rPr>
      <w:rFonts w:asciiTheme="minorHAnsi" w:hAnsiTheme="minorHAnsi"/>
      <w:b/>
      <w:bCs/>
      <w:color w:val="000000"/>
    </w:rPr>
  </w:style>
  <w:style w:type="character" w:customStyle="1" w:styleId="FootnoteTextChar">
    <w:name w:val="Footnote Text Char"/>
    <w:basedOn w:val="DefaultParagraphFont"/>
    <w:link w:val="FootnoteText"/>
    <w:uiPriority w:val="99"/>
    <w:rsid w:val="005E6DE6"/>
    <w:rPr>
      <w:rFonts w:asciiTheme="minorHAnsi" w:hAnsiTheme="minorHAnsi"/>
      <w:color w:val="000000"/>
      <w:sz w:val="18"/>
      <w:szCs w:val="18"/>
    </w:rPr>
  </w:style>
  <w:style w:type="paragraph" w:customStyle="1" w:styleId="TableColumnHeading">
    <w:name w:val="Table Column Heading"/>
    <w:basedOn w:val="Normal"/>
    <w:next w:val="Normal"/>
    <w:rsid w:val="005E6DE6"/>
    <w:pPr>
      <w:keepLines/>
      <w:spacing w:before="60" w:after="60" w:line="240" w:lineRule="auto"/>
    </w:pPr>
    <w:rPr>
      <w:rFonts w:ascii="Arial" w:hAnsi="Arial"/>
      <w:b/>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creativecommons.org/licenses/by/3.0/au/deed.en" TargetMode="External"/><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image" Target="media/image3.emf"/><Relationship Id="rId42"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taxboard.gov.au" TargetMode="External"/><Relationship Id="rId33" Type="http://schemas.openxmlformats.org/officeDocument/2006/relationships/hyperlink" Target="https://www.linkedin.com/company-beta/18103811/"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oter" Target="footer5.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taxbord.gov.au/email-subscription/" TargetMode="External"/><Relationship Id="rId37" Type="http://schemas.openxmlformats.org/officeDocument/2006/relationships/image" Target="media/image4.png"/><Relationship Id="rId40" Type="http://schemas.openxmlformats.org/officeDocument/2006/relationships/hyperlink" Target="http://www.taxboard.gov.au"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medialiaison@treasury.gov.au" TargetMode="External"/><Relationship Id="rId28" Type="http://schemas.openxmlformats.org/officeDocument/2006/relationships/hyperlink" Target="mailto:taxboard@treasury.gov.au"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creativecommons.org/licenses/by/3.0/au/legalcode" TargetMode="Externa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pmc.gov.au/government/commonwealth-coat-arms" TargetMode="External"/><Relationship Id="rId27" Type="http://schemas.openxmlformats.org/officeDocument/2006/relationships/footer" Target="footer4.xm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2019RG-355-7630</_dlc_DocId>
    <_dlc_DocIdUrl xmlns="0f563589-9cf9-4143-b1eb-fb0534803d38">
      <Url>http://tweb/sites/rg/bots/projects/_layouts/15/DocIdRedir.aspx?ID=2019RG-355-7630</Url>
      <Description>2019RG-355-7630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26400" ma:contentTypeDescription="" ma:contentTypeScope="" ma:versionID="1af8d8561f5bd3b87522941779a4ed7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6E27-963B-4010-B07A-BA1096EBD41B}">
  <ds:schemaRefs>
    <ds:schemaRef ds:uri="http://schemas.microsoft.com/office/2006/documentManagement/types"/>
    <ds:schemaRef ds:uri="http://www.w3.org/XML/1998/namespace"/>
    <ds:schemaRef ds:uri="http://schemas.microsoft.com/sharepoint/v4"/>
    <ds:schemaRef ds:uri="http://purl.org/dc/terms/"/>
    <ds:schemaRef ds:uri="http://schemas.microsoft.com/office/2006/metadata/properties"/>
    <ds:schemaRef ds:uri="9f7bc583-7cbe-45b9-a2bd-8bbb6543b37e"/>
    <ds:schemaRef ds:uri="http://schemas.microsoft.com/office/infopath/2007/PartnerControls"/>
    <ds:schemaRef ds:uri="0f563589-9cf9-4143-b1eb-fb0534803d38"/>
    <ds:schemaRef ds:uri="http://purl.org/dc/elements/1.1/"/>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93315D4-231E-43F8-8CB0-4F7157CCE3F8}">
  <ds:schemaRefs>
    <ds:schemaRef ds:uri="http://schemas.microsoft.com/sharepoint/events"/>
  </ds:schemaRefs>
</ds:datastoreItem>
</file>

<file path=customXml/itemProps3.xml><?xml version="1.0" encoding="utf-8"?>
<ds:datastoreItem xmlns:ds="http://schemas.openxmlformats.org/officeDocument/2006/customXml" ds:itemID="{BDFF29BE-8C6E-4789-B37E-F1368E68B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6219C-5E72-497C-A397-E94BCE99373E}">
  <ds:schemaRefs>
    <ds:schemaRef ds:uri="office.server.policy"/>
  </ds:schemaRefs>
</ds:datastoreItem>
</file>

<file path=customXml/itemProps5.xml><?xml version="1.0" encoding="utf-8"?>
<ds:datastoreItem xmlns:ds="http://schemas.openxmlformats.org/officeDocument/2006/customXml" ds:itemID="{7F9E40DE-2E3E-4E91-A65F-A25552AC6591}">
  <ds:schemaRefs>
    <ds:schemaRef ds:uri="http://schemas.microsoft.com/sharepoint/v3/contenttype/forms"/>
  </ds:schemaRefs>
</ds:datastoreItem>
</file>

<file path=customXml/itemProps6.xml><?xml version="1.0" encoding="utf-8"?>
<ds:datastoreItem xmlns:ds="http://schemas.openxmlformats.org/officeDocument/2006/customXml" ds:itemID="{D745135B-7EB1-4E5F-ACE4-26FAFD8D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Annual Report.dotm</Template>
  <TotalTime>89</TotalTime>
  <Pages>39</Pages>
  <Words>9563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draft 18-19 Annual ReportV5</vt:lpstr>
    </vt:vector>
  </TitlesOfParts>
  <Company>The Treasury</Company>
  <LinksUpToDate>false</LinksUpToDate>
  <CharactersWithSpaces>64290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18-19 Annual ReportV5</dc:title>
  <dc:creator>Atfield, Michael</dc:creator>
  <cp:lastModifiedBy>Atfield, Michael</cp:lastModifiedBy>
  <cp:revision>11</cp:revision>
  <cp:lastPrinted>2020-02-10T02:39:00Z</cp:lastPrinted>
  <dcterms:created xsi:type="dcterms:W3CDTF">2019-12-19T01:22:00Z</dcterms:created>
  <dcterms:modified xsi:type="dcterms:W3CDTF">2020-02-10T02:40:00Z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TSYRecordClass">
    <vt:lpwstr>18;#GRA26-21135 - Retain as national archives|f1e1d764-3604-4ca6-bc54-6b106e291d6f</vt:lpwstr>
  </property>
  <property fmtid="{D5CDD505-2E9C-101B-9397-08002B2CF9AE}" pid="4" name="_dlc_DocIdItemGuid">
    <vt:lpwstr>34312787-59fd-4f62-a8ad-b3fb5fdc0e8e</vt:lpwstr>
  </property>
  <property fmtid="{D5CDD505-2E9C-101B-9397-08002B2CF9AE}" pid="5" name="Order">
    <vt:r8>756000</vt:r8>
  </property>
  <property fmtid="{D5CDD505-2E9C-101B-9397-08002B2CF9AE}" pid="6" name="oae75e2df9d943898d59cb03ca0993c5">
    <vt:lpwstr/>
  </property>
  <property fmtid="{D5CDD505-2E9C-101B-9397-08002B2CF9AE}" pid="7" name="Topics">
    <vt:lpwstr/>
  </property>
  <property fmtid="{D5CDD505-2E9C-101B-9397-08002B2CF9AE}" pid="8" name="_NewReviewCycle">
    <vt:lpwstr/>
  </property>
  <property fmtid="{D5CDD505-2E9C-101B-9397-08002B2CF9AE}" pid="9" name="RecordPoint_ActiveItemUniqueId">
    <vt:lpwstr>{8a375bd0-048a-4304-9330-9d176c12886d}</vt:lpwstr>
  </property>
  <property fmtid="{D5CDD505-2E9C-101B-9397-08002B2CF9AE}" pid="10" name="RecordPoint_WorkflowType">
    <vt:lpwstr>ActiveSubmitStub</vt:lpwstr>
  </property>
  <property fmtid="{D5CDD505-2E9C-101B-9397-08002B2CF9AE}" pid="11" name="RecordPoint_ActiveItemListId">
    <vt:lpwstr>{d6775dc5-8a38-4781-95bf-d3f0d1237c48}</vt:lpwstr>
  </property>
  <property fmtid="{D5CDD505-2E9C-101B-9397-08002B2CF9AE}" pid="12" name="RecordPoint_ActiveItemWebId">
    <vt:lpwstr>{cebcee45-40e2-45ca-9d22-89ff5bfe4e7b}</vt:lpwstr>
  </property>
  <property fmtid="{D5CDD505-2E9C-101B-9397-08002B2CF9AE}" pid="13" name="RecordPoint_ActiveItemSiteId">
    <vt:lpwstr>{5b52b9a5-e5b2-4521-8814-a1e24ca2869d}</vt:lpwstr>
  </property>
  <property fmtid="{D5CDD505-2E9C-101B-9397-08002B2CF9AE}" pid="14" name="_AdHocReviewCycleID">
    <vt:i4>-1361914028</vt:i4>
  </property>
  <property fmtid="{D5CDD505-2E9C-101B-9397-08002B2CF9AE}" pid="15" name="_EmailSubject">
    <vt:lpwstr>BoT Annual Report for the website [SEC=UNOFFICIAL]</vt:lpwstr>
  </property>
  <property fmtid="{D5CDD505-2E9C-101B-9397-08002B2CF9AE}" pid="16" name="_AuthorEmail">
    <vt:lpwstr>Paul.Atkinson@TREASURY.GOV.AU</vt:lpwstr>
  </property>
  <property fmtid="{D5CDD505-2E9C-101B-9397-08002B2CF9AE}" pid="17" name="_AuthorEmailDisplayName">
    <vt:lpwstr>Atkinson, Paul</vt:lpwstr>
  </property>
</Properties>
</file>