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C9799" w14:textId="77777777" w:rsidR="000E0B74" w:rsidRPr="006D0240" w:rsidRDefault="000E0B74" w:rsidP="008E6292"/>
    <w:p w14:paraId="6A5C979A" w14:textId="77777777" w:rsidR="00254D20" w:rsidRDefault="00254D20" w:rsidP="00E712D3"/>
    <w:p w14:paraId="6A5C979B" w14:textId="77777777" w:rsidR="00254D20" w:rsidRDefault="00254D20" w:rsidP="00E712D3"/>
    <w:p w14:paraId="6A5C979C" w14:textId="77777777" w:rsidR="00254D20" w:rsidRDefault="00254D20" w:rsidP="00E712D3"/>
    <w:p w14:paraId="6A5C979D" w14:textId="459823D2" w:rsidR="00254D20" w:rsidRDefault="009C6248" w:rsidP="009C6248">
      <w:pPr>
        <w:tabs>
          <w:tab w:val="right" w:pos="9070"/>
        </w:tabs>
      </w:pPr>
      <w:r>
        <w:tab/>
      </w:r>
    </w:p>
    <w:p w14:paraId="6A5C979E" w14:textId="77777777" w:rsidR="00254D20" w:rsidRDefault="00254D20" w:rsidP="00E712D3"/>
    <w:p w14:paraId="6A5C979F" w14:textId="77777777" w:rsidR="00254D20" w:rsidRDefault="00254D20" w:rsidP="00E712D3"/>
    <w:p w14:paraId="6A5C97A0" w14:textId="77777777" w:rsidR="00254D20" w:rsidRDefault="00254D20" w:rsidP="00E712D3"/>
    <w:p w14:paraId="6A5C97A1" w14:textId="77777777" w:rsidR="00254D20" w:rsidRDefault="00254D20" w:rsidP="00E712D3"/>
    <w:p w14:paraId="6A5C97A2" w14:textId="77777777" w:rsidR="00254D20" w:rsidRPr="00E712D3" w:rsidRDefault="00254D20" w:rsidP="00E712D3"/>
    <w:p w14:paraId="6A5C97A3" w14:textId="77777777" w:rsidR="000E0B74" w:rsidRPr="00E712D3" w:rsidRDefault="00254D20" w:rsidP="00E712D3">
      <w:pPr>
        <w:pStyle w:val="Title"/>
        <w:rPr>
          <w:sz w:val="56"/>
          <w:szCs w:val="56"/>
        </w:rPr>
      </w:pPr>
      <w:r>
        <w:rPr>
          <w:sz w:val="56"/>
          <w:szCs w:val="56"/>
        </w:rPr>
        <w:t xml:space="preserve">Review of </w:t>
      </w:r>
      <w:r w:rsidR="003857B7" w:rsidRPr="00E712D3">
        <w:rPr>
          <w:sz w:val="56"/>
          <w:szCs w:val="56"/>
        </w:rPr>
        <w:t xml:space="preserve">Small business </w:t>
      </w:r>
      <w:r w:rsidR="008E19A3" w:rsidRPr="00E712D3">
        <w:rPr>
          <w:sz w:val="56"/>
          <w:szCs w:val="56"/>
        </w:rPr>
        <w:t xml:space="preserve">tax </w:t>
      </w:r>
      <w:r w:rsidR="00EB5B49" w:rsidRPr="00E712D3">
        <w:rPr>
          <w:sz w:val="56"/>
          <w:szCs w:val="56"/>
        </w:rPr>
        <w:t>CONCESSIONS</w:t>
      </w:r>
    </w:p>
    <w:p w14:paraId="6A5C97A4" w14:textId="77777777" w:rsidR="000E0B74" w:rsidRPr="00706E8E" w:rsidRDefault="003857B7" w:rsidP="003857B7">
      <w:pPr>
        <w:pStyle w:val="Subtitle"/>
        <w:spacing w:after="3000"/>
      </w:pPr>
      <w:r w:rsidRPr="003857B7">
        <w:t>Consultation Guide</w:t>
      </w:r>
    </w:p>
    <w:p w14:paraId="6A5C97A5" w14:textId="74C761CA" w:rsidR="00056880" w:rsidRDefault="008875CD" w:rsidP="000E0B74">
      <w:pPr>
        <w:pStyle w:val="ReportDate"/>
        <w:ind w:right="0"/>
        <w:rPr>
          <w:rFonts w:ascii="Rockwell" w:hAnsi="Rockwell"/>
          <w:sz w:val="24"/>
        </w:rPr>
      </w:pPr>
      <w:r>
        <w:rPr>
          <w:rStyle w:val="ReportDateChar"/>
        </w:rPr>
        <w:t xml:space="preserve">May </w:t>
      </w:r>
      <w:r w:rsidR="003857B7">
        <w:rPr>
          <w:rStyle w:val="ReportDateChar"/>
        </w:rPr>
        <w:t>2018</w:t>
      </w:r>
    </w:p>
    <w:p w14:paraId="6A5C97A6" w14:textId="77777777" w:rsidR="002F617F" w:rsidRPr="005D561D" w:rsidRDefault="00E27F7C" w:rsidP="002F617F">
      <w:pPr>
        <w:pStyle w:val="Divider"/>
      </w:pPr>
      <w:r>
        <w:rPr>
          <w:noProof/>
        </w:rPr>
        <w:drawing>
          <wp:anchor distT="0" distB="0" distL="114300" distR="114300" simplePos="0" relativeHeight="251657216" behindDoc="1" locked="0" layoutInCell="1" allowOverlap="1" wp14:anchorId="6A5C9898" wp14:editId="6A5C9899">
            <wp:simplePos x="904875" y="1466850"/>
            <wp:positionH relativeFrom="page">
              <wp:align>center</wp:align>
            </wp:positionH>
            <wp:positionV relativeFrom="page">
              <wp:align>center</wp:align>
            </wp:positionV>
            <wp:extent cx="7560360" cy="1069452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Cover_Consultation guid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60360" cy="10694520"/>
                    </a:xfrm>
                    <a:prstGeom prst="rect">
                      <a:avLst/>
                    </a:prstGeom>
                  </pic:spPr>
                </pic:pic>
              </a:graphicData>
            </a:graphic>
            <wp14:sizeRelH relativeFrom="margin">
              <wp14:pctWidth>0</wp14:pctWidth>
            </wp14:sizeRelH>
            <wp14:sizeRelV relativeFrom="margin">
              <wp14:pctHeight>0</wp14:pctHeight>
            </wp14:sizeRelV>
          </wp:anchor>
        </w:drawing>
      </w:r>
    </w:p>
    <w:p w14:paraId="6A5C97A7" w14:textId="77777777" w:rsidR="002F617F" w:rsidRDefault="002F617F"/>
    <w:p w14:paraId="6A5C97A8" w14:textId="77777777" w:rsidR="000E0B74" w:rsidRDefault="000E0B74" w:rsidP="000E0B74">
      <w:pPr>
        <w:rPr>
          <w:rFonts w:cs="Calibri"/>
          <w:sz w:val="20"/>
        </w:rPr>
      </w:pPr>
    </w:p>
    <w:p w14:paraId="6A5C97A9" w14:textId="77777777" w:rsidR="000E0B74" w:rsidRDefault="000E0B74" w:rsidP="000E0B74">
      <w:pPr>
        <w:sectPr w:rsidR="000E0B74" w:rsidSect="00C01DCC">
          <w:footerReference w:type="even" r:id="rId15"/>
          <w:pgSz w:w="11906" w:h="16838"/>
          <w:pgMar w:top="1418" w:right="1418" w:bottom="1418" w:left="1418" w:header="709" w:footer="709" w:gutter="0"/>
          <w:cols w:space="720"/>
        </w:sectPr>
      </w:pPr>
    </w:p>
    <w:p w14:paraId="6A5C97AA" w14:textId="77777777" w:rsidR="000E0B74" w:rsidRDefault="000E0B74" w:rsidP="00ED53E0">
      <w:pPr>
        <w:pStyle w:val="Heading1"/>
        <w:spacing w:before="0"/>
      </w:pPr>
      <w:bookmarkStart w:id="0" w:name="_Toc504653882"/>
      <w:bookmarkStart w:id="1" w:name="_Toc510006850"/>
      <w:r w:rsidRPr="001F1B27">
        <w:lastRenderedPageBreak/>
        <w:t>Contents</w:t>
      </w:r>
      <w:bookmarkEnd w:id="0"/>
      <w:bookmarkEnd w:id="1"/>
    </w:p>
    <w:p w14:paraId="24362B10" w14:textId="77777777" w:rsidR="000C69F0" w:rsidRDefault="000E0B74">
      <w:pPr>
        <w:pStyle w:val="TOC1"/>
        <w:rPr>
          <w:rFonts w:asciiTheme="minorHAnsi" w:eastAsiaTheme="minorEastAsia" w:hAnsiTheme="minorHAnsi" w:cstheme="minorBidi"/>
          <w:b w:val="0"/>
          <w:color w:val="auto"/>
        </w:rPr>
      </w:pPr>
      <w:r>
        <w:rPr>
          <w:color w:val="004A7F"/>
        </w:rPr>
        <w:fldChar w:fldCharType="begin"/>
      </w:r>
      <w:r w:rsidRPr="0025652F">
        <w:instrText xml:space="preserve"> TOC \o "1-3" \h \z \u </w:instrText>
      </w:r>
      <w:r>
        <w:rPr>
          <w:color w:val="004A7F"/>
        </w:rPr>
        <w:fldChar w:fldCharType="separate"/>
      </w:r>
      <w:hyperlink w:anchor="_Toc510006850" w:history="1">
        <w:r w:rsidR="000C69F0" w:rsidRPr="004D582B">
          <w:rPr>
            <w:rStyle w:val="Hyperlink"/>
          </w:rPr>
          <w:t>Contents</w:t>
        </w:r>
        <w:r w:rsidR="000C69F0">
          <w:rPr>
            <w:webHidden/>
          </w:rPr>
          <w:tab/>
        </w:r>
        <w:r w:rsidR="000C69F0">
          <w:rPr>
            <w:webHidden/>
          </w:rPr>
          <w:fldChar w:fldCharType="begin"/>
        </w:r>
        <w:r w:rsidR="000C69F0">
          <w:rPr>
            <w:webHidden/>
          </w:rPr>
          <w:instrText xml:space="preserve"> PAGEREF _Toc510006850 \h </w:instrText>
        </w:r>
        <w:r w:rsidR="000C69F0">
          <w:rPr>
            <w:webHidden/>
          </w:rPr>
        </w:r>
        <w:r w:rsidR="000C69F0">
          <w:rPr>
            <w:webHidden/>
          </w:rPr>
          <w:fldChar w:fldCharType="separate"/>
        </w:r>
        <w:r w:rsidR="002651E8">
          <w:rPr>
            <w:webHidden/>
          </w:rPr>
          <w:t>2</w:t>
        </w:r>
        <w:r w:rsidR="000C69F0">
          <w:rPr>
            <w:webHidden/>
          </w:rPr>
          <w:fldChar w:fldCharType="end"/>
        </w:r>
      </w:hyperlink>
    </w:p>
    <w:p w14:paraId="4D1EB84A" w14:textId="77777777" w:rsidR="000C69F0" w:rsidRDefault="00C114D0">
      <w:pPr>
        <w:pStyle w:val="TOC1"/>
        <w:rPr>
          <w:rFonts w:asciiTheme="minorHAnsi" w:eastAsiaTheme="minorEastAsia" w:hAnsiTheme="minorHAnsi" w:cstheme="minorBidi"/>
          <w:b w:val="0"/>
          <w:color w:val="auto"/>
        </w:rPr>
      </w:pPr>
      <w:hyperlink w:anchor="_Toc510006851" w:history="1">
        <w:r w:rsidR="000C69F0" w:rsidRPr="004D582B">
          <w:rPr>
            <w:rStyle w:val="Hyperlink"/>
          </w:rPr>
          <w:t>Reform directions</w:t>
        </w:r>
        <w:r w:rsidR="000C69F0">
          <w:rPr>
            <w:webHidden/>
          </w:rPr>
          <w:tab/>
        </w:r>
        <w:r w:rsidR="000C69F0">
          <w:rPr>
            <w:webHidden/>
          </w:rPr>
          <w:fldChar w:fldCharType="begin"/>
        </w:r>
        <w:r w:rsidR="000C69F0">
          <w:rPr>
            <w:webHidden/>
          </w:rPr>
          <w:instrText xml:space="preserve"> PAGEREF _Toc510006851 \h </w:instrText>
        </w:r>
        <w:r w:rsidR="000C69F0">
          <w:rPr>
            <w:webHidden/>
          </w:rPr>
        </w:r>
        <w:r w:rsidR="000C69F0">
          <w:rPr>
            <w:webHidden/>
          </w:rPr>
          <w:fldChar w:fldCharType="separate"/>
        </w:r>
        <w:r w:rsidR="002651E8">
          <w:rPr>
            <w:webHidden/>
          </w:rPr>
          <w:t>3</w:t>
        </w:r>
        <w:r w:rsidR="000C69F0">
          <w:rPr>
            <w:webHidden/>
          </w:rPr>
          <w:fldChar w:fldCharType="end"/>
        </w:r>
      </w:hyperlink>
    </w:p>
    <w:p w14:paraId="2E90C08E" w14:textId="77777777" w:rsidR="000C69F0" w:rsidRDefault="00C114D0">
      <w:pPr>
        <w:pStyle w:val="TOC1"/>
        <w:rPr>
          <w:rFonts w:asciiTheme="minorHAnsi" w:eastAsiaTheme="minorEastAsia" w:hAnsiTheme="minorHAnsi" w:cstheme="minorBidi"/>
          <w:b w:val="0"/>
          <w:color w:val="auto"/>
        </w:rPr>
      </w:pPr>
      <w:hyperlink w:anchor="_Toc510006852" w:history="1">
        <w:r w:rsidR="000C69F0" w:rsidRPr="004D582B">
          <w:rPr>
            <w:rStyle w:val="Hyperlink"/>
          </w:rPr>
          <w:t>Consultation</w:t>
        </w:r>
        <w:r w:rsidR="000C69F0">
          <w:rPr>
            <w:webHidden/>
          </w:rPr>
          <w:tab/>
        </w:r>
        <w:r w:rsidR="000C69F0">
          <w:rPr>
            <w:webHidden/>
          </w:rPr>
          <w:fldChar w:fldCharType="begin"/>
        </w:r>
        <w:r w:rsidR="000C69F0">
          <w:rPr>
            <w:webHidden/>
          </w:rPr>
          <w:instrText xml:space="preserve"> PAGEREF _Toc510006852 \h </w:instrText>
        </w:r>
        <w:r w:rsidR="000C69F0">
          <w:rPr>
            <w:webHidden/>
          </w:rPr>
        </w:r>
        <w:r w:rsidR="000C69F0">
          <w:rPr>
            <w:webHidden/>
          </w:rPr>
          <w:fldChar w:fldCharType="separate"/>
        </w:r>
        <w:r w:rsidR="002651E8">
          <w:rPr>
            <w:webHidden/>
          </w:rPr>
          <w:t>4</w:t>
        </w:r>
        <w:r w:rsidR="000C69F0">
          <w:rPr>
            <w:webHidden/>
          </w:rPr>
          <w:fldChar w:fldCharType="end"/>
        </w:r>
      </w:hyperlink>
    </w:p>
    <w:p w14:paraId="0237E0FB" w14:textId="77777777" w:rsidR="000C69F0" w:rsidRDefault="00C114D0">
      <w:pPr>
        <w:pStyle w:val="TOC1"/>
        <w:rPr>
          <w:rFonts w:asciiTheme="minorHAnsi" w:eastAsiaTheme="minorEastAsia" w:hAnsiTheme="minorHAnsi" w:cstheme="minorBidi"/>
          <w:b w:val="0"/>
          <w:color w:val="auto"/>
        </w:rPr>
      </w:pPr>
      <w:hyperlink w:anchor="_Toc510006853" w:history="1">
        <w:r w:rsidR="000C69F0" w:rsidRPr="004D582B">
          <w:rPr>
            <w:rStyle w:val="Hyperlink"/>
          </w:rPr>
          <w:t>How the tax system currently assists small business</w:t>
        </w:r>
        <w:r w:rsidR="000C69F0">
          <w:rPr>
            <w:webHidden/>
          </w:rPr>
          <w:tab/>
        </w:r>
        <w:r w:rsidR="000C69F0">
          <w:rPr>
            <w:webHidden/>
          </w:rPr>
          <w:fldChar w:fldCharType="begin"/>
        </w:r>
        <w:r w:rsidR="000C69F0">
          <w:rPr>
            <w:webHidden/>
          </w:rPr>
          <w:instrText xml:space="preserve"> PAGEREF _Toc510006853 \h </w:instrText>
        </w:r>
        <w:r w:rsidR="000C69F0">
          <w:rPr>
            <w:webHidden/>
          </w:rPr>
        </w:r>
        <w:r w:rsidR="000C69F0">
          <w:rPr>
            <w:webHidden/>
          </w:rPr>
          <w:fldChar w:fldCharType="separate"/>
        </w:r>
        <w:r w:rsidR="002651E8">
          <w:rPr>
            <w:webHidden/>
          </w:rPr>
          <w:t>5</w:t>
        </w:r>
        <w:r w:rsidR="000C69F0">
          <w:rPr>
            <w:webHidden/>
          </w:rPr>
          <w:fldChar w:fldCharType="end"/>
        </w:r>
      </w:hyperlink>
    </w:p>
    <w:p w14:paraId="34BEA50C" w14:textId="77777777" w:rsidR="000C69F0" w:rsidRDefault="00C114D0">
      <w:pPr>
        <w:pStyle w:val="TOC1"/>
        <w:rPr>
          <w:rFonts w:asciiTheme="minorHAnsi" w:eastAsiaTheme="minorEastAsia" w:hAnsiTheme="minorHAnsi" w:cstheme="minorBidi"/>
          <w:b w:val="0"/>
          <w:color w:val="auto"/>
        </w:rPr>
      </w:pPr>
      <w:hyperlink w:anchor="_Toc510006854" w:history="1">
        <w:r w:rsidR="000C69F0" w:rsidRPr="004D582B">
          <w:rPr>
            <w:rStyle w:val="Hyperlink"/>
          </w:rPr>
          <w:t>Principles for reform</w:t>
        </w:r>
        <w:r w:rsidR="000C69F0">
          <w:rPr>
            <w:webHidden/>
          </w:rPr>
          <w:tab/>
        </w:r>
        <w:r w:rsidR="000C69F0">
          <w:rPr>
            <w:webHidden/>
          </w:rPr>
          <w:fldChar w:fldCharType="begin"/>
        </w:r>
        <w:r w:rsidR="000C69F0">
          <w:rPr>
            <w:webHidden/>
          </w:rPr>
          <w:instrText xml:space="preserve"> PAGEREF _Toc510006854 \h </w:instrText>
        </w:r>
        <w:r w:rsidR="000C69F0">
          <w:rPr>
            <w:webHidden/>
          </w:rPr>
        </w:r>
        <w:r w:rsidR="000C69F0">
          <w:rPr>
            <w:webHidden/>
          </w:rPr>
          <w:fldChar w:fldCharType="separate"/>
        </w:r>
        <w:r w:rsidR="002651E8">
          <w:rPr>
            <w:webHidden/>
          </w:rPr>
          <w:t>9</w:t>
        </w:r>
        <w:r w:rsidR="000C69F0">
          <w:rPr>
            <w:webHidden/>
          </w:rPr>
          <w:fldChar w:fldCharType="end"/>
        </w:r>
      </w:hyperlink>
    </w:p>
    <w:p w14:paraId="10CE891E" w14:textId="77777777" w:rsidR="000C69F0" w:rsidRDefault="00C114D0">
      <w:pPr>
        <w:pStyle w:val="TOC1"/>
        <w:rPr>
          <w:rFonts w:asciiTheme="minorHAnsi" w:eastAsiaTheme="minorEastAsia" w:hAnsiTheme="minorHAnsi" w:cstheme="minorBidi"/>
          <w:b w:val="0"/>
          <w:color w:val="auto"/>
        </w:rPr>
      </w:pPr>
      <w:hyperlink w:anchor="_Toc510006855" w:history="1">
        <w:r w:rsidR="000C69F0" w:rsidRPr="004D582B">
          <w:rPr>
            <w:rStyle w:val="Hyperlink"/>
          </w:rPr>
          <w:t>Our goals</w:t>
        </w:r>
        <w:r w:rsidR="000C69F0">
          <w:rPr>
            <w:webHidden/>
          </w:rPr>
          <w:tab/>
        </w:r>
        <w:r w:rsidR="000C69F0">
          <w:rPr>
            <w:webHidden/>
          </w:rPr>
          <w:fldChar w:fldCharType="begin"/>
        </w:r>
        <w:r w:rsidR="000C69F0">
          <w:rPr>
            <w:webHidden/>
          </w:rPr>
          <w:instrText xml:space="preserve"> PAGEREF _Toc510006855 \h </w:instrText>
        </w:r>
        <w:r w:rsidR="000C69F0">
          <w:rPr>
            <w:webHidden/>
          </w:rPr>
        </w:r>
        <w:r w:rsidR="000C69F0">
          <w:rPr>
            <w:webHidden/>
          </w:rPr>
          <w:fldChar w:fldCharType="separate"/>
        </w:r>
        <w:r w:rsidR="002651E8">
          <w:rPr>
            <w:webHidden/>
          </w:rPr>
          <w:t>13</w:t>
        </w:r>
        <w:r w:rsidR="000C69F0">
          <w:rPr>
            <w:webHidden/>
          </w:rPr>
          <w:fldChar w:fldCharType="end"/>
        </w:r>
      </w:hyperlink>
    </w:p>
    <w:p w14:paraId="5E6F0084" w14:textId="77777777" w:rsidR="000C69F0" w:rsidRDefault="00C114D0">
      <w:pPr>
        <w:pStyle w:val="TOC1"/>
        <w:rPr>
          <w:rFonts w:asciiTheme="minorHAnsi" w:eastAsiaTheme="minorEastAsia" w:hAnsiTheme="minorHAnsi" w:cstheme="minorBidi"/>
          <w:b w:val="0"/>
          <w:color w:val="auto"/>
        </w:rPr>
      </w:pPr>
      <w:hyperlink w:anchor="_Toc510006856" w:history="1">
        <w:r w:rsidR="000C69F0" w:rsidRPr="004D582B">
          <w:rPr>
            <w:rStyle w:val="Hyperlink"/>
          </w:rPr>
          <w:t>Consultation questions</w:t>
        </w:r>
        <w:r w:rsidR="000C69F0">
          <w:rPr>
            <w:webHidden/>
          </w:rPr>
          <w:tab/>
        </w:r>
        <w:r w:rsidR="000C69F0">
          <w:rPr>
            <w:webHidden/>
          </w:rPr>
          <w:fldChar w:fldCharType="begin"/>
        </w:r>
        <w:r w:rsidR="000C69F0">
          <w:rPr>
            <w:webHidden/>
          </w:rPr>
          <w:instrText xml:space="preserve"> PAGEREF _Toc510006856 \h </w:instrText>
        </w:r>
        <w:r w:rsidR="000C69F0">
          <w:rPr>
            <w:webHidden/>
          </w:rPr>
        </w:r>
        <w:r w:rsidR="000C69F0">
          <w:rPr>
            <w:webHidden/>
          </w:rPr>
          <w:fldChar w:fldCharType="separate"/>
        </w:r>
        <w:r w:rsidR="002651E8">
          <w:rPr>
            <w:webHidden/>
          </w:rPr>
          <w:t>14</w:t>
        </w:r>
        <w:r w:rsidR="000C69F0">
          <w:rPr>
            <w:webHidden/>
          </w:rPr>
          <w:fldChar w:fldCharType="end"/>
        </w:r>
      </w:hyperlink>
    </w:p>
    <w:p w14:paraId="63739FC4" w14:textId="77777777" w:rsidR="000C69F0" w:rsidRDefault="00C114D0">
      <w:pPr>
        <w:pStyle w:val="TOC1"/>
        <w:rPr>
          <w:rFonts w:asciiTheme="minorHAnsi" w:eastAsiaTheme="minorEastAsia" w:hAnsiTheme="minorHAnsi" w:cstheme="minorBidi"/>
          <w:b w:val="0"/>
          <w:color w:val="auto"/>
        </w:rPr>
      </w:pPr>
      <w:hyperlink w:anchor="_Toc510006857" w:history="1">
        <w:r w:rsidR="000C69F0" w:rsidRPr="004D582B">
          <w:rPr>
            <w:rStyle w:val="Hyperlink"/>
          </w:rPr>
          <w:t>Membership</w:t>
        </w:r>
        <w:r w:rsidR="000C69F0">
          <w:rPr>
            <w:webHidden/>
          </w:rPr>
          <w:tab/>
        </w:r>
        <w:r w:rsidR="000C69F0">
          <w:rPr>
            <w:webHidden/>
          </w:rPr>
          <w:fldChar w:fldCharType="begin"/>
        </w:r>
        <w:r w:rsidR="000C69F0">
          <w:rPr>
            <w:webHidden/>
          </w:rPr>
          <w:instrText xml:space="preserve"> PAGEREF _Toc510006857 \h </w:instrText>
        </w:r>
        <w:r w:rsidR="000C69F0">
          <w:rPr>
            <w:webHidden/>
          </w:rPr>
        </w:r>
        <w:r w:rsidR="000C69F0">
          <w:rPr>
            <w:webHidden/>
          </w:rPr>
          <w:fldChar w:fldCharType="separate"/>
        </w:r>
        <w:r w:rsidR="002651E8">
          <w:rPr>
            <w:webHidden/>
          </w:rPr>
          <w:t>16</w:t>
        </w:r>
        <w:r w:rsidR="000C69F0">
          <w:rPr>
            <w:webHidden/>
          </w:rPr>
          <w:fldChar w:fldCharType="end"/>
        </w:r>
      </w:hyperlink>
    </w:p>
    <w:p w14:paraId="65C51DE8" w14:textId="77777777" w:rsidR="000C69F0" w:rsidRDefault="00C114D0">
      <w:pPr>
        <w:pStyle w:val="TOC1"/>
        <w:rPr>
          <w:rFonts w:asciiTheme="minorHAnsi" w:eastAsiaTheme="minorEastAsia" w:hAnsiTheme="minorHAnsi" w:cstheme="minorBidi"/>
          <w:b w:val="0"/>
          <w:color w:val="auto"/>
        </w:rPr>
      </w:pPr>
      <w:hyperlink w:anchor="_Toc510006858" w:history="1">
        <w:r w:rsidR="000C69F0" w:rsidRPr="004D582B">
          <w:rPr>
            <w:rStyle w:val="Hyperlink"/>
          </w:rPr>
          <w:t>How to participate</w:t>
        </w:r>
        <w:r w:rsidR="000C69F0">
          <w:rPr>
            <w:webHidden/>
          </w:rPr>
          <w:tab/>
        </w:r>
        <w:r w:rsidR="000C69F0">
          <w:rPr>
            <w:webHidden/>
          </w:rPr>
          <w:fldChar w:fldCharType="begin"/>
        </w:r>
        <w:r w:rsidR="000C69F0">
          <w:rPr>
            <w:webHidden/>
          </w:rPr>
          <w:instrText xml:space="preserve"> PAGEREF _Toc510006858 \h </w:instrText>
        </w:r>
        <w:r w:rsidR="000C69F0">
          <w:rPr>
            <w:webHidden/>
          </w:rPr>
        </w:r>
        <w:r w:rsidR="000C69F0">
          <w:rPr>
            <w:webHidden/>
          </w:rPr>
          <w:fldChar w:fldCharType="separate"/>
        </w:r>
        <w:r w:rsidR="002651E8">
          <w:rPr>
            <w:webHidden/>
          </w:rPr>
          <w:t>17</w:t>
        </w:r>
        <w:r w:rsidR="000C69F0">
          <w:rPr>
            <w:webHidden/>
          </w:rPr>
          <w:fldChar w:fldCharType="end"/>
        </w:r>
      </w:hyperlink>
    </w:p>
    <w:p w14:paraId="6A5C97BB" w14:textId="77777777" w:rsidR="00254D20" w:rsidRDefault="000E0B74" w:rsidP="00296283">
      <w:pPr>
        <w:tabs>
          <w:tab w:val="left" w:pos="7686"/>
        </w:tabs>
      </w:pPr>
      <w:r>
        <w:fldChar w:fldCharType="end"/>
      </w:r>
      <w:bookmarkStart w:id="2" w:name="_Toc432067103"/>
      <w:bookmarkStart w:id="3" w:name="_Toc452635030"/>
    </w:p>
    <w:p w14:paraId="6A5C97BC" w14:textId="77777777" w:rsidR="00B37C6C" w:rsidRPr="00E712D3" w:rsidRDefault="00B37C6C" w:rsidP="00E712D3">
      <w:pPr>
        <w:sectPr w:rsidR="00B37C6C" w:rsidRPr="00E712D3" w:rsidSect="00D5404B">
          <w:headerReference w:type="even" r:id="rId16"/>
          <w:headerReference w:type="default" r:id="rId17"/>
          <w:footerReference w:type="even" r:id="rId18"/>
          <w:footerReference w:type="default" r:id="rId19"/>
          <w:headerReference w:type="first" r:id="rId20"/>
          <w:footerReference w:type="first" r:id="rId21"/>
          <w:pgSz w:w="11906" w:h="16838" w:code="9"/>
          <w:pgMar w:top="2835" w:right="1134" w:bottom="1985" w:left="1134" w:header="709" w:footer="1134" w:gutter="0"/>
          <w:cols w:space="708"/>
          <w:docGrid w:linePitch="360"/>
        </w:sectPr>
      </w:pPr>
    </w:p>
    <w:p w14:paraId="6A5C97BD" w14:textId="77777777" w:rsidR="00475085" w:rsidRPr="004415EA" w:rsidRDefault="00F166AB" w:rsidP="00ED53E0">
      <w:pPr>
        <w:pStyle w:val="Heading1"/>
        <w:spacing w:before="0"/>
      </w:pPr>
      <w:bookmarkStart w:id="4" w:name="_Toc510006851"/>
      <w:bookmarkEnd w:id="2"/>
      <w:bookmarkEnd w:id="3"/>
      <w:r w:rsidRPr="004415EA">
        <w:lastRenderedPageBreak/>
        <w:t>Reform directions</w:t>
      </w:r>
      <w:bookmarkEnd w:id="4"/>
    </w:p>
    <w:p w14:paraId="6A5C97BE" w14:textId="411D87A4" w:rsidR="00475085" w:rsidRPr="005044AB" w:rsidRDefault="00167D37" w:rsidP="000C69F0">
      <w:pPr>
        <w:pStyle w:val="Introductionparagraph"/>
        <w:spacing w:after="60"/>
      </w:pPr>
      <w:r>
        <w:t>T</w:t>
      </w:r>
      <w:r w:rsidR="00AB3A72" w:rsidRPr="005044AB">
        <w:t>he Board of Taxation</w:t>
      </w:r>
      <w:r w:rsidR="00865FDB" w:rsidRPr="005044AB">
        <w:t xml:space="preserve"> (the Board)</w:t>
      </w:r>
      <w:r w:rsidR="00AB3A72" w:rsidRPr="005044AB">
        <w:t xml:space="preserve"> is conducting a</w:t>
      </w:r>
      <w:r>
        <w:t xml:space="preserve">n independent, self-initiated </w:t>
      </w:r>
      <w:r w:rsidR="00AB3A72" w:rsidRPr="005044AB">
        <w:t xml:space="preserve">review </w:t>
      </w:r>
      <w:r w:rsidR="00D16EA8" w:rsidRPr="005044AB">
        <w:t>of</w:t>
      </w:r>
      <w:r w:rsidR="00731532" w:rsidRPr="005044AB">
        <w:t xml:space="preserve"> Australia’s</w:t>
      </w:r>
      <w:r w:rsidR="00EB5B49" w:rsidRPr="005044AB">
        <w:t xml:space="preserve"> </w:t>
      </w:r>
      <w:r w:rsidR="00AB3A72" w:rsidRPr="005044AB">
        <w:t xml:space="preserve">small business tax concessions. </w:t>
      </w:r>
      <w:r w:rsidR="00D16EA8" w:rsidRPr="005044AB">
        <w:t>The Board</w:t>
      </w:r>
      <w:r w:rsidR="007D7EEB" w:rsidRPr="005044AB">
        <w:t>’s</w:t>
      </w:r>
      <w:r w:rsidR="00D16EA8" w:rsidRPr="005044AB">
        <w:t xml:space="preserve"> review will involve assessing the effectiveness of existing concessions and, where appropriate, </w:t>
      </w:r>
      <w:r>
        <w:t>recommending</w:t>
      </w:r>
      <w:r w:rsidR="00D16EA8" w:rsidRPr="005044AB">
        <w:t xml:space="preserve"> new concessionary approaches </w:t>
      </w:r>
      <w:r>
        <w:t>to the Government.</w:t>
      </w:r>
      <w:r w:rsidR="00D16EA8" w:rsidRPr="005044AB">
        <w:t xml:space="preserve"> </w:t>
      </w:r>
      <w:r w:rsidR="00305FBC" w:rsidRPr="005044AB">
        <w:t xml:space="preserve">This Consultation Guide explains how the small business community can </w:t>
      </w:r>
      <w:r w:rsidR="00EB5B49" w:rsidRPr="005044AB">
        <w:t xml:space="preserve">take part </w:t>
      </w:r>
      <w:r w:rsidR="00305FBC" w:rsidRPr="005044AB">
        <w:t xml:space="preserve">in the Board’s </w:t>
      </w:r>
      <w:r w:rsidR="00D16EA8" w:rsidRPr="005044AB">
        <w:t>review</w:t>
      </w:r>
      <w:r w:rsidR="00AB3A72" w:rsidRPr="005044AB">
        <w:t>.</w:t>
      </w:r>
    </w:p>
    <w:p w14:paraId="6A5C97BF" w14:textId="105EA564" w:rsidR="00D62752" w:rsidRPr="00386715" w:rsidRDefault="00171690" w:rsidP="00140822">
      <w:r w:rsidRPr="00386715">
        <w:t xml:space="preserve">Small businesses account for </w:t>
      </w:r>
      <w:r w:rsidR="00120C87">
        <w:t xml:space="preserve">approximately </w:t>
      </w:r>
      <w:r w:rsidRPr="00386715">
        <w:t>9</w:t>
      </w:r>
      <w:r w:rsidR="00120C87">
        <w:t>6</w:t>
      </w:r>
      <w:r w:rsidRPr="00386715">
        <w:t xml:space="preserve"> per cent of all businesses in Australia</w:t>
      </w:r>
      <w:r w:rsidR="00120C87">
        <w:t xml:space="preserve">, employ </w:t>
      </w:r>
      <w:r w:rsidR="00E8296A">
        <w:t>5.6</w:t>
      </w:r>
      <w:r w:rsidR="00120C87">
        <w:t xml:space="preserve"> million </w:t>
      </w:r>
      <w:r w:rsidR="003A6050">
        <w:t>Australians,</w:t>
      </w:r>
      <w:r w:rsidRPr="00386715">
        <w:t xml:space="preserve"> and </w:t>
      </w:r>
      <w:r w:rsidR="00120C87">
        <w:t>produce over $330 billion of Australia’s annual economic output.</w:t>
      </w:r>
    </w:p>
    <w:p w14:paraId="2EED4B03" w14:textId="19FB95DE" w:rsidR="00FA76E2" w:rsidRDefault="00FA76E2" w:rsidP="00140822">
      <w:r w:rsidRPr="00386715">
        <w:t>The Board believe</w:t>
      </w:r>
      <w:r>
        <w:t>s</w:t>
      </w:r>
      <w:r w:rsidRPr="00386715">
        <w:t xml:space="preserve"> that a </w:t>
      </w:r>
      <w:r>
        <w:t>well-</w:t>
      </w:r>
      <w:r w:rsidRPr="00386715">
        <w:t>designed regime of tax concessions</w:t>
      </w:r>
      <w:r>
        <w:t xml:space="preserve"> and subsidies</w:t>
      </w:r>
      <w:r w:rsidRPr="00386715">
        <w:t>, targeted to</w:t>
      </w:r>
      <w:r>
        <w:t xml:space="preserve"> assist with</w:t>
      </w:r>
      <w:r w:rsidRPr="00386715">
        <w:t xml:space="preserve"> the specific challenges faced by small businesses, can play an important role</w:t>
      </w:r>
      <w:r>
        <w:t xml:space="preserve"> in helping small businesses at all stages of their business lifecycle, from the crucial start-up phase through to maturity and the retirement of business owners.</w:t>
      </w:r>
    </w:p>
    <w:p w14:paraId="5C5E114A" w14:textId="63B12363" w:rsidR="00095F49" w:rsidRDefault="00095F49" w:rsidP="00140822">
      <w:r>
        <w:t>Small businesses are currently grappling with fundamental changes to traditional ways of doing business.</w:t>
      </w:r>
      <w:r w:rsidRPr="00CB648C">
        <w:t xml:space="preserve"> </w:t>
      </w:r>
      <w:r>
        <w:t>The pressure is rising for businesses to ‘go digital’ both in the way they interact with consumers and in how they comply with their tax obligations and other regulations.  Rapid technological developments, the advent of the ‘gig’ and ‘sharing’ economies, and other business models</w:t>
      </w:r>
      <w:r w:rsidR="00167D37">
        <w:t xml:space="preserve"> (including franchising)</w:t>
      </w:r>
      <w:r>
        <w:t xml:space="preserve"> are creating </w:t>
      </w:r>
      <w:r w:rsidR="00E15660">
        <w:t xml:space="preserve">a myriad of </w:t>
      </w:r>
      <w:r>
        <w:t xml:space="preserve">opportunities and challenges. </w:t>
      </w:r>
      <w:r w:rsidR="00B632AB">
        <w:t xml:space="preserve">The Government’s Small Business Digital Taskforce is examining ways to </w:t>
      </w:r>
      <w:r w:rsidR="00495BBF">
        <w:t>assist</w:t>
      </w:r>
      <w:r w:rsidR="00B632AB">
        <w:t xml:space="preserve"> small businesses</w:t>
      </w:r>
      <w:r w:rsidR="00495BBF">
        <w:t xml:space="preserve"> in navigating</w:t>
      </w:r>
      <w:r w:rsidR="00B632AB">
        <w:t xml:space="preserve"> </w:t>
      </w:r>
      <w:r w:rsidR="00167D37">
        <w:t xml:space="preserve">some of </w:t>
      </w:r>
      <w:r w:rsidR="00B632AB">
        <w:t>these</w:t>
      </w:r>
      <w:r w:rsidR="00495BBF">
        <w:t xml:space="preserve"> changes</w:t>
      </w:r>
      <w:r w:rsidR="00B632AB">
        <w:t>.</w:t>
      </w:r>
    </w:p>
    <w:p w14:paraId="1FCA36FA" w14:textId="1DA78095" w:rsidR="00095F49" w:rsidRDefault="00095F49" w:rsidP="00140822">
      <w:r>
        <w:t>Achieving a level playing field for small businesses remains a key challenge. Small businesses face competition not only from their larger, more established, counterparts but also from illegitimate operators in the black economy undercut</w:t>
      </w:r>
      <w:r w:rsidR="009A5202">
        <w:t>ting</w:t>
      </w:r>
      <w:r>
        <w:t xml:space="preserve"> them on price.</w:t>
      </w:r>
    </w:p>
    <w:p w14:paraId="6A5C97C1" w14:textId="1D7AA502" w:rsidR="00C076B6" w:rsidRPr="00386715" w:rsidRDefault="001D71AE" w:rsidP="00140822">
      <w:pPr>
        <w:rPr>
          <w:rFonts w:cs="Arial"/>
        </w:rPr>
      </w:pPr>
      <w:r>
        <w:rPr>
          <w:rFonts w:cs="Arial"/>
        </w:rPr>
        <w:t>Against this background</w:t>
      </w:r>
      <w:r w:rsidR="001B3623">
        <w:rPr>
          <w:rFonts w:cs="Arial"/>
        </w:rPr>
        <w:t>, t</w:t>
      </w:r>
      <w:r w:rsidR="00F166AB" w:rsidRPr="00386715">
        <w:rPr>
          <w:rFonts w:cs="Arial"/>
        </w:rPr>
        <w:t xml:space="preserve">he Board is undertaking a review </w:t>
      </w:r>
      <w:r w:rsidR="00386715" w:rsidRPr="00386715">
        <w:rPr>
          <w:rFonts w:cs="Arial"/>
        </w:rPr>
        <w:t xml:space="preserve">to </w:t>
      </w:r>
      <w:r w:rsidR="00F166AB" w:rsidRPr="00386715">
        <w:rPr>
          <w:rFonts w:cs="Arial"/>
        </w:rPr>
        <w:t>identify ways</w:t>
      </w:r>
      <w:r w:rsidR="002E5CAE">
        <w:rPr>
          <w:rFonts w:cs="Arial"/>
        </w:rPr>
        <w:t xml:space="preserve"> to</w:t>
      </w:r>
      <w:r w:rsidR="00F166AB" w:rsidRPr="00386715">
        <w:rPr>
          <w:rFonts w:cs="Arial"/>
        </w:rPr>
        <w:t xml:space="preserve"> improv</w:t>
      </w:r>
      <w:r w:rsidR="002E5CAE">
        <w:rPr>
          <w:rFonts w:cs="Arial"/>
        </w:rPr>
        <w:t>e</w:t>
      </w:r>
      <w:r w:rsidR="00F166AB" w:rsidRPr="00386715">
        <w:rPr>
          <w:rFonts w:cs="Arial"/>
        </w:rPr>
        <w:t xml:space="preserve"> </w:t>
      </w:r>
      <w:r w:rsidR="008B7302">
        <w:rPr>
          <w:rFonts w:cs="Arial"/>
        </w:rPr>
        <w:t xml:space="preserve">small business </w:t>
      </w:r>
      <w:r w:rsidR="00C076B6" w:rsidRPr="00386715">
        <w:rPr>
          <w:rFonts w:cs="Arial"/>
        </w:rPr>
        <w:t xml:space="preserve">tax concessions </w:t>
      </w:r>
      <w:r w:rsidR="001B3623">
        <w:rPr>
          <w:rFonts w:cs="Arial"/>
        </w:rPr>
        <w:t>to ensure they remain</w:t>
      </w:r>
      <w:r w:rsidR="00F166AB" w:rsidRPr="00386715">
        <w:rPr>
          <w:rFonts w:cs="Arial"/>
        </w:rPr>
        <w:t xml:space="preserve"> </w:t>
      </w:r>
      <w:r w:rsidR="00C076B6" w:rsidRPr="00386715">
        <w:rPr>
          <w:rFonts w:cs="Arial"/>
        </w:rPr>
        <w:t>effective</w:t>
      </w:r>
      <w:r w:rsidR="00386715" w:rsidRPr="00386715">
        <w:rPr>
          <w:rFonts w:cs="Arial"/>
        </w:rPr>
        <w:t>, easily accessible, and well-targeted</w:t>
      </w:r>
      <w:r w:rsidR="00C076B6" w:rsidRPr="00386715">
        <w:rPr>
          <w:rFonts w:cs="Arial"/>
        </w:rPr>
        <w:t>. This will involve identify</w:t>
      </w:r>
      <w:r w:rsidR="00386715" w:rsidRPr="00386715">
        <w:rPr>
          <w:rFonts w:cs="Arial"/>
        </w:rPr>
        <w:t xml:space="preserve">ing </w:t>
      </w:r>
      <w:r w:rsidR="00C076B6" w:rsidRPr="00386715">
        <w:rPr>
          <w:rFonts w:cs="Arial"/>
        </w:rPr>
        <w:t xml:space="preserve">new </w:t>
      </w:r>
      <w:r w:rsidR="00386715" w:rsidRPr="00386715">
        <w:rPr>
          <w:rFonts w:cs="Arial"/>
        </w:rPr>
        <w:t xml:space="preserve">concessions for small businesses and ways to improve existing concessions. It will </w:t>
      </w:r>
      <w:r w:rsidR="001B3623">
        <w:rPr>
          <w:rFonts w:cs="Arial"/>
        </w:rPr>
        <w:t xml:space="preserve">also </w:t>
      </w:r>
      <w:r w:rsidR="00386715" w:rsidRPr="00386715">
        <w:rPr>
          <w:rFonts w:cs="Arial"/>
        </w:rPr>
        <w:t>involve identifying areas in which concessions that are less effective</w:t>
      </w:r>
      <w:r w:rsidR="00731532">
        <w:rPr>
          <w:rFonts w:cs="Arial"/>
        </w:rPr>
        <w:t>,</w:t>
      </w:r>
      <w:r w:rsidR="00386715" w:rsidRPr="00386715">
        <w:rPr>
          <w:rFonts w:cs="Arial"/>
        </w:rPr>
        <w:t xml:space="preserve"> or not well targeted</w:t>
      </w:r>
      <w:r w:rsidR="00731532">
        <w:rPr>
          <w:rFonts w:cs="Arial"/>
        </w:rPr>
        <w:t>,</w:t>
      </w:r>
      <w:r w:rsidR="00386715" w:rsidRPr="00386715">
        <w:rPr>
          <w:rFonts w:cs="Arial"/>
        </w:rPr>
        <w:t xml:space="preserve"> could be removed or scaled back to generate savings that can be redeployed in areas where they </w:t>
      </w:r>
      <w:r w:rsidR="00120C87">
        <w:rPr>
          <w:rFonts w:cs="Arial"/>
        </w:rPr>
        <w:t>may</w:t>
      </w:r>
      <w:r w:rsidR="00120C87" w:rsidRPr="00386715">
        <w:rPr>
          <w:rFonts w:cs="Arial"/>
        </w:rPr>
        <w:t xml:space="preserve"> </w:t>
      </w:r>
      <w:r w:rsidR="00386715" w:rsidRPr="00386715">
        <w:rPr>
          <w:rFonts w:cs="Arial"/>
        </w:rPr>
        <w:t xml:space="preserve">have </w:t>
      </w:r>
      <w:r w:rsidR="00120C87">
        <w:rPr>
          <w:rFonts w:cs="Arial"/>
        </w:rPr>
        <w:t xml:space="preserve">a </w:t>
      </w:r>
      <w:r w:rsidR="00386715" w:rsidRPr="00386715">
        <w:rPr>
          <w:rFonts w:cs="Arial"/>
        </w:rPr>
        <w:t>greater impact.</w:t>
      </w:r>
      <w:r w:rsidR="001B3623">
        <w:rPr>
          <w:rFonts w:cs="Arial"/>
        </w:rPr>
        <w:t xml:space="preserve"> </w:t>
      </w:r>
      <w:r w:rsidR="00156956">
        <w:rPr>
          <w:rFonts w:cs="Arial"/>
        </w:rPr>
        <w:t>C</w:t>
      </w:r>
      <w:r w:rsidR="001B3623">
        <w:rPr>
          <w:rFonts w:cs="Arial"/>
        </w:rPr>
        <w:t>onsideration</w:t>
      </w:r>
      <w:r w:rsidR="00156956">
        <w:rPr>
          <w:rFonts w:cs="Arial"/>
        </w:rPr>
        <w:t xml:space="preserve"> will be given to </w:t>
      </w:r>
      <w:r w:rsidR="00ED53E0">
        <w:rPr>
          <w:rFonts w:cs="Arial"/>
        </w:rPr>
        <w:t>the broader regulatory framework, including how the small business tax concessions comple</w:t>
      </w:r>
      <w:r w:rsidR="00140822">
        <w:rPr>
          <w:rFonts w:cs="Arial"/>
        </w:rPr>
        <w:t>ment retirement savings policy.</w:t>
      </w:r>
    </w:p>
    <w:p w14:paraId="6A5C97C2" w14:textId="2F4B8849" w:rsidR="00C40C67" w:rsidRPr="00090A79" w:rsidRDefault="00F166AB" w:rsidP="00140822">
      <w:pPr>
        <w:rPr>
          <w:rFonts w:cs="Arial"/>
        </w:rPr>
      </w:pPr>
      <w:r w:rsidRPr="00386715">
        <w:rPr>
          <w:rFonts w:cs="Arial"/>
        </w:rPr>
        <w:t xml:space="preserve">In conducting the review, </w:t>
      </w:r>
      <w:r w:rsidR="00731532">
        <w:rPr>
          <w:rFonts w:cs="Arial"/>
        </w:rPr>
        <w:t>t</w:t>
      </w:r>
      <w:r w:rsidR="00F10B8D">
        <w:rPr>
          <w:rFonts w:cs="Arial"/>
        </w:rPr>
        <w:t>he Board will draw</w:t>
      </w:r>
      <w:r w:rsidRPr="00386715">
        <w:rPr>
          <w:rFonts w:cs="Arial"/>
        </w:rPr>
        <w:t xml:space="preserve"> on previous work </w:t>
      </w:r>
      <w:r w:rsidR="00F10B8D">
        <w:rPr>
          <w:rFonts w:cs="Arial"/>
        </w:rPr>
        <w:t>it has</w:t>
      </w:r>
      <w:r w:rsidRPr="00386715">
        <w:rPr>
          <w:rFonts w:cs="Arial"/>
        </w:rPr>
        <w:t xml:space="preserve"> undertaken into small </w:t>
      </w:r>
      <w:r w:rsidRPr="00090A79">
        <w:rPr>
          <w:rFonts w:cs="Arial"/>
        </w:rPr>
        <w:t>business taxation</w:t>
      </w:r>
      <w:r w:rsidR="00A55E08">
        <w:rPr>
          <w:rFonts w:cs="Arial"/>
        </w:rPr>
        <w:t xml:space="preserve">, work undertaken by the Treasury, </w:t>
      </w:r>
      <w:r w:rsidR="00ED3A90">
        <w:rPr>
          <w:rFonts w:cs="Arial"/>
        </w:rPr>
        <w:t>as well as</w:t>
      </w:r>
      <w:r w:rsidR="00A55E08">
        <w:rPr>
          <w:rFonts w:cs="Arial"/>
        </w:rPr>
        <w:t xml:space="preserve"> international experiences</w:t>
      </w:r>
      <w:r w:rsidRPr="00090A79">
        <w:rPr>
          <w:rFonts w:cs="Arial"/>
        </w:rPr>
        <w:t xml:space="preserve">. </w:t>
      </w:r>
      <w:r w:rsidR="00A55E08">
        <w:rPr>
          <w:rFonts w:cs="Arial"/>
        </w:rPr>
        <w:t>In addition, a</w:t>
      </w:r>
      <w:r w:rsidR="00F10B8D" w:rsidRPr="00090A79">
        <w:rPr>
          <w:rFonts w:cs="Arial"/>
        </w:rPr>
        <w:t xml:space="preserve"> Reference Group of small business, professional and academic stakeholders </w:t>
      </w:r>
      <w:r w:rsidRPr="00090A79">
        <w:rPr>
          <w:rFonts w:cs="Arial"/>
        </w:rPr>
        <w:t xml:space="preserve">have </w:t>
      </w:r>
      <w:r w:rsidR="00F10B8D" w:rsidRPr="00090A79">
        <w:rPr>
          <w:rFonts w:cs="Arial"/>
        </w:rPr>
        <w:t xml:space="preserve">also </w:t>
      </w:r>
      <w:r w:rsidR="00386715" w:rsidRPr="00090A79">
        <w:rPr>
          <w:rFonts w:cs="Arial"/>
        </w:rPr>
        <w:t xml:space="preserve">generously </w:t>
      </w:r>
      <w:r w:rsidRPr="00090A79">
        <w:rPr>
          <w:rFonts w:cs="Arial"/>
        </w:rPr>
        <w:t>volunteered their time</w:t>
      </w:r>
      <w:r w:rsidR="00A55E08">
        <w:rPr>
          <w:rFonts w:cs="Arial"/>
        </w:rPr>
        <w:t xml:space="preserve"> and expertise</w:t>
      </w:r>
      <w:r w:rsidRPr="00090A79">
        <w:rPr>
          <w:rFonts w:cs="Arial"/>
        </w:rPr>
        <w:t xml:space="preserve"> to </w:t>
      </w:r>
      <w:r w:rsidR="00386715" w:rsidRPr="00090A79">
        <w:rPr>
          <w:rFonts w:cs="Arial"/>
        </w:rPr>
        <w:t>assist</w:t>
      </w:r>
      <w:r w:rsidR="00F10B8D" w:rsidRPr="00090A79">
        <w:rPr>
          <w:rFonts w:cs="Arial"/>
        </w:rPr>
        <w:t xml:space="preserve"> </w:t>
      </w:r>
      <w:r w:rsidR="00090A79" w:rsidRPr="00090A79">
        <w:rPr>
          <w:rFonts w:cs="Arial"/>
        </w:rPr>
        <w:t xml:space="preserve">the Board </w:t>
      </w:r>
      <w:r w:rsidR="00A55E08">
        <w:rPr>
          <w:rFonts w:cs="Arial"/>
        </w:rPr>
        <w:t>with t</w:t>
      </w:r>
      <w:r w:rsidR="00DD319F">
        <w:rPr>
          <w:rFonts w:cs="Arial"/>
        </w:rPr>
        <w:t>his review</w:t>
      </w:r>
      <w:r w:rsidRPr="00090A79">
        <w:rPr>
          <w:rFonts w:cs="Arial"/>
        </w:rPr>
        <w:t>.</w:t>
      </w:r>
    </w:p>
    <w:p w14:paraId="6A5C97C3" w14:textId="293D85D0" w:rsidR="00090A79" w:rsidRDefault="00090A79" w:rsidP="00140822">
      <w:pPr>
        <w:rPr>
          <w:rFonts w:cs="Arial"/>
        </w:rPr>
      </w:pPr>
      <w:r w:rsidRPr="00090A79">
        <w:rPr>
          <w:rFonts w:cs="Arial"/>
        </w:rPr>
        <w:t>This Consultation Guide sets out the current suite of tax concessions applying to small bus</w:t>
      </w:r>
      <w:r w:rsidR="00DD319F">
        <w:rPr>
          <w:rFonts w:cs="Arial"/>
        </w:rPr>
        <w:t>iness and</w:t>
      </w:r>
      <w:r w:rsidRPr="00090A79">
        <w:rPr>
          <w:rFonts w:cs="Arial"/>
        </w:rPr>
        <w:t xml:space="preserve"> the Board’s proposed principles for evaluating and improving the framework of tax relief. It also </w:t>
      </w:r>
      <w:r w:rsidR="00ED3A90">
        <w:rPr>
          <w:rFonts w:cs="Arial"/>
        </w:rPr>
        <w:t>poses questions for stakeholders to think about when formula</w:t>
      </w:r>
      <w:r w:rsidR="00140822">
        <w:rPr>
          <w:rFonts w:cs="Arial"/>
        </w:rPr>
        <w:t>ting their input to the review.</w:t>
      </w:r>
    </w:p>
    <w:p w14:paraId="6A5C97C5" w14:textId="099BA780" w:rsidR="005044AB" w:rsidRDefault="00090A79" w:rsidP="00140822">
      <w:pPr>
        <w:rPr>
          <w:rFonts w:cs="Arial"/>
        </w:rPr>
      </w:pPr>
      <w:r>
        <w:rPr>
          <w:rFonts w:cs="Arial"/>
        </w:rPr>
        <w:t>Most importantly</w:t>
      </w:r>
      <w:r w:rsidRPr="00090A79">
        <w:rPr>
          <w:rFonts w:cs="Arial"/>
        </w:rPr>
        <w:t xml:space="preserve">, </w:t>
      </w:r>
      <w:r>
        <w:rPr>
          <w:rFonts w:cs="Arial"/>
        </w:rPr>
        <w:t xml:space="preserve">this guide explains our consultation process and the Board invites small business owners and </w:t>
      </w:r>
      <w:r w:rsidR="008B7302">
        <w:rPr>
          <w:rFonts w:cs="Arial"/>
        </w:rPr>
        <w:t xml:space="preserve">small business </w:t>
      </w:r>
      <w:r>
        <w:rPr>
          <w:rFonts w:cs="Arial"/>
        </w:rPr>
        <w:t xml:space="preserve">advisers to </w:t>
      </w:r>
      <w:r w:rsidR="00DD319F">
        <w:rPr>
          <w:rFonts w:cs="Arial"/>
        </w:rPr>
        <w:t xml:space="preserve">actively </w:t>
      </w:r>
      <w:r w:rsidR="00F878AA">
        <w:rPr>
          <w:rFonts w:cs="Arial"/>
        </w:rPr>
        <w:t xml:space="preserve">contribute to </w:t>
      </w:r>
      <w:r w:rsidR="00E353D2">
        <w:rPr>
          <w:rFonts w:cs="Arial"/>
        </w:rPr>
        <w:t xml:space="preserve">designing </w:t>
      </w:r>
      <w:r w:rsidRPr="00090A79">
        <w:rPr>
          <w:rFonts w:cs="Arial"/>
        </w:rPr>
        <w:t>a</w:t>
      </w:r>
      <w:r w:rsidR="00E353D2">
        <w:rPr>
          <w:rFonts w:cs="Arial"/>
        </w:rPr>
        <w:t xml:space="preserve"> forward-looking and</w:t>
      </w:r>
      <w:r w:rsidRPr="00090A79">
        <w:rPr>
          <w:rFonts w:cs="Arial"/>
        </w:rPr>
        <w:t xml:space="preserve"> effec</w:t>
      </w:r>
      <w:r>
        <w:rPr>
          <w:rFonts w:cs="Arial"/>
        </w:rPr>
        <w:t xml:space="preserve">tive </w:t>
      </w:r>
      <w:r w:rsidR="00E353D2">
        <w:rPr>
          <w:rFonts w:cs="Arial"/>
        </w:rPr>
        <w:t xml:space="preserve">blueprint for the </w:t>
      </w:r>
      <w:r>
        <w:rPr>
          <w:rFonts w:cs="Arial"/>
        </w:rPr>
        <w:t>small business tax regime</w:t>
      </w:r>
      <w:r w:rsidR="000A58DA">
        <w:rPr>
          <w:rFonts w:cs="Arial"/>
        </w:rPr>
        <w:t>.</w:t>
      </w:r>
      <w:r w:rsidR="00903CC9">
        <w:rPr>
          <w:rFonts w:cs="Arial"/>
        </w:rPr>
        <w:t xml:space="preserve"> These contributions will inform the Board’s final advice </w:t>
      </w:r>
      <w:r w:rsidR="00140822">
        <w:rPr>
          <w:rFonts w:cs="Arial"/>
        </w:rPr>
        <w:t>to Government.</w:t>
      </w:r>
      <w:r w:rsidR="005044AB">
        <w:rPr>
          <w:rFonts w:cs="Arial"/>
        </w:rPr>
        <w:br w:type="page"/>
      </w:r>
    </w:p>
    <w:p w14:paraId="6A5C97C6" w14:textId="77777777" w:rsidR="00D62752" w:rsidRPr="005044AB" w:rsidRDefault="008B4BE8" w:rsidP="00ED53E0">
      <w:pPr>
        <w:pStyle w:val="Heading1"/>
        <w:spacing w:before="0"/>
      </w:pPr>
      <w:bookmarkStart w:id="5" w:name="_Toc510006852"/>
      <w:r w:rsidRPr="005044AB">
        <w:lastRenderedPageBreak/>
        <w:t>C</w:t>
      </w:r>
      <w:r w:rsidR="00D62752" w:rsidRPr="005044AB">
        <w:t>onsultation</w:t>
      </w:r>
      <w:bookmarkEnd w:id="5"/>
    </w:p>
    <w:p w14:paraId="6A5C97C7" w14:textId="77777777" w:rsidR="00DC77BA" w:rsidRPr="00296283" w:rsidRDefault="00496C47" w:rsidP="00296283">
      <w:pPr>
        <w:pStyle w:val="Introductionparagraph"/>
      </w:pPr>
      <w:r w:rsidRPr="003E687D">
        <w:t>The Chair of this review, Dr Mark P</w:t>
      </w:r>
      <w:r w:rsidRPr="004415EA">
        <w:t>izzacalla, looks forward to working with the small business community in developing the Board’s advice to Government. A Reference Group of small business professionals and academic representatives (see Membership) has been established to guide the project,</w:t>
      </w:r>
      <w:r w:rsidRPr="008F3163">
        <w:t xml:space="preserve"> provide </w:t>
      </w:r>
      <w:r w:rsidR="00ED3A90">
        <w:t>expertise</w:t>
      </w:r>
      <w:r w:rsidRPr="008F3163">
        <w:t xml:space="preserve">, and assist with consultations. In addition, there will be opportunities for the </w:t>
      </w:r>
      <w:r w:rsidR="00ED3A90">
        <w:t>small business sector</w:t>
      </w:r>
      <w:r w:rsidR="00ED3A90" w:rsidRPr="008F3163">
        <w:t xml:space="preserve"> </w:t>
      </w:r>
      <w:r w:rsidRPr="008F3163">
        <w:t xml:space="preserve">and the </w:t>
      </w:r>
      <w:r w:rsidRPr="00296283">
        <w:t>broader community to participate in the course of the review.</w:t>
      </w:r>
    </w:p>
    <w:p w14:paraId="6A5C97C8" w14:textId="77777777" w:rsidR="00DC77BA" w:rsidRPr="003A6050" w:rsidRDefault="00DC77BA" w:rsidP="003A6050">
      <w:pPr>
        <w:rPr>
          <w:color w:val="C00000"/>
          <w:sz w:val="36"/>
          <w:szCs w:val="36"/>
        </w:rPr>
      </w:pPr>
      <w:r w:rsidRPr="003A6050">
        <w:rPr>
          <w:color w:val="C00000"/>
          <w:sz w:val="36"/>
          <w:szCs w:val="36"/>
        </w:rPr>
        <w:t>Timetable for consultation</w:t>
      </w:r>
    </w:p>
    <w:p w14:paraId="6A5C97C9" w14:textId="77777777" w:rsidR="00DC77BA" w:rsidRDefault="004B6BEA" w:rsidP="00296283">
      <w:pPr>
        <w:spacing w:after="360"/>
      </w:pPr>
      <w:r>
        <w:t xml:space="preserve">This review will initially take some time to analyse the community’s submissions </w:t>
      </w:r>
      <w:r w:rsidR="00991153">
        <w:t xml:space="preserve">in relation </w:t>
      </w:r>
      <w:r>
        <w:t>to previous reviews of small business taxation, including reviews conducted by the Board. Interested parties may contribute to the review through online submissions or</w:t>
      </w:r>
      <w:r w:rsidR="00ED3A90">
        <w:t xml:space="preserve"> by</w:t>
      </w:r>
      <w:r>
        <w:t xml:space="preserve"> participating in one of the consultation activities conducted by the Chair. The timetable below sets out an indicative timeframe for consultation. Further information will be made available at: </w:t>
      </w:r>
      <w:hyperlink r:id="rId22" w:history="1">
        <w:r w:rsidRPr="006A5F6C">
          <w:rPr>
            <w:rStyle w:val="Hyperlink"/>
          </w:rPr>
          <w:t>www.taxboard.gov.au</w:t>
        </w:r>
      </w:hyperlink>
      <w:r>
        <w:t>.</w:t>
      </w:r>
    </w:p>
    <w:tbl>
      <w:tblPr>
        <w:tblStyle w:val="TableGrid"/>
        <w:tblW w:w="0" w:type="auto"/>
        <w:shd w:val="clear" w:color="auto" w:fill="FFFFFF" w:themeFill="background1"/>
        <w:tblLook w:val="04A0" w:firstRow="1" w:lastRow="0" w:firstColumn="1" w:lastColumn="0" w:noHBand="0" w:noVBand="1"/>
      </w:tblPr>
      <w:tblGrid>
        <w:gridCol w:w="2660"/>
        <w:gridCol w:w="7194"/>
      </w:tblGrid>
      <w:tr w:rsidR="00DC77BA" w:rsidRPr="001852CD" w14:paraId="6A5C97CC" w14:textId="77777777" w:rsidTr="00296283">
        <w:tc>
          <w:tcPr>
            <w:tcW w:w="2660" w:type="dxa"/>
            <w:shd w:val="clear" w:color="auto" w:fill="D9D9D9" w:themeFill="background1" w:themeFillShade="D9"/>
          </w:tcPr>
          <w:p w14:paraId="6A5C97CA" w14:textId="5798ACF7" w:rsidR="00DC77BA" w:rsidRPr="001852CD" w:rsidRDefault="008875CD" w:rsidP="00296283">
            <w:pPr>
              <w:pStyle w:val="TableColumnHeadingLeft"/>
              <w:rPr>
                <w:sz w:val="22"/>
              </w:rPr>
            </w:pPr>
            <w:r>
              <w:t>May</w:t>
            </w:r>
            <w:r w:rsidRPr="001852CD">
              <w:t xml:space="preserve"> </w:t>
            </w:r>
            <w:r w:rsidR="00DC77BA" w:rsidRPr="001852CD">
              <w:t>2018</w:t>
            </w:r>
          </w:p>
        </w:tc>
        <w:tc>
          <w:tcPr>
            <w:tcW w:w="7194" w:type="dxa"/>
            <w:shd w:val="clear" w:color="auto" w:fill="D9D9D9" w:themeFill="background1" w:themeFillShade="D9"/>
          </w:tcPr>
          <w:p w14:paraId="6A5C97CB" w14:textId="77777777" w:rsidR="00DC77BA" w:rsidRPr="001852CD" w:rsidRDefault="00DC77BA" w:rsidP="00296283">
            <w:pPr>
              <w:pStyle w:val="TableColumnHeadingLeft"/>
              <w:rPr>
                <w:sz w:val="22"/>
              </w:rPr>
            </w:pPr>
            <w:r w:rsidRPr="001852CD">
              <w:t>Consultat</w:t>
            </w:r>
            <w:r w:rsidR="001852CD" w:rsidRPr="001852CD">
              <w:t>ion G</w:t>
            </w:r>
            <w:r w:rsidRPr="001852CD">
              <w:t>uide – released</w:t>
            </w:r>
          </w:p>
        </w:tc>
      </w:tr>
      <w:tr w:rsidR="00DC77BA" w:rsidRPr="001852CD" w14:paraId="6A5C97CF" w14:textId="77777777" w:rsidTr="00265506">
        <w:tc>
          <w:tcPr>
            <w:tcW w:w="2660" w:type="dxa"/>
            <w:shd w:val="clear" w:color="auto" w:fill="FFFFFF" w:themeFill="background1"/>
          </w:tcPr>
          <w:p w14:paraId="6A5C97CD" w14:textId="77777777" w:rsidR="00DC77BA" w:rsidRPr="001852CD" w:rsidRDefault="00DC77BA" w:rsidP="00DC77BA">
            <w:pPr>
              <w:pStyle w:val="SingleParagraph"/>
              <w:rPr>
                <w:sz w:val="24"/>
                <w:szCs w:val="24"/>
              </w:rPr>
            </w:pPr>
          </w:p>
        </w:tc>
        <w:tc>
          <w:tcPr>
            <w:tcW w:w="7194" w:type="dxa"/>
            <w:shd w:val="clear" w:color="auto" w:fill="FFFFFF" w:themeFill="background1"/>
          </w:tcPr>
          <w:p w14:paraId="6A5C97CE" w14:textId="2D8EF47F" w:rsidR="00DC77BA" w:rsidRPr="001852CD" w:rsidRDefault="00DC77BA" w:rsidP="00087A8B">
            <w:pPr>
              <w:pStyle w:val="TableTextLeft"/>
              <w:rPr>
                <w:b/>
                <w:bCs/>
                <w:color w:val="44546A" w:themeColor="text2"/>
              </w:rPr>
            </w:pPr>
            <w:r w:rsidRPr="001852CD">
              <w:t xml:space="preserve">The </w:t>
            </w:r>
            <w:r w:rsidR="001852CD" w:rsidRPr="001852CD">
              <w:t>C</w:t>
            </w:r>
            <w:r w:rsidRPr="001852CD">
              <w:t xml:space="preserve">onsultation </w:t>
            </w:r>
            <w:r w:rsidR="001852CD" w:rsidRPr="001852CD">
              <w:t>G</w:t>
            </w:r>
            <w:r w:rsidRPr="001852CD">
              <w:t>uide is expected to be released in</w:t>
            </w:r>
            <w:r w:rsidR="008875CD">
              <w:t xml:space="preserve"> May</w:t>
            </w:r>
            <w:r w:rsidRPr="001852CD">
              <w:t>.</w:t>
            </w:r>
          </w:p>
        </w:tc>
      </w:tr>
      <w:tr w:rsidR="001852CD" w:rsidRPr="001852CD" w14:paraId="6A5C97D2" w14:textId="77777777" w:rsidTr="00296283">
        <w:tc>
          <w:tcPr>
            <w:tcW w:w="2660" w:type="dxa"/>
            <w:shd w:val="clear" w:color="auto" w:fill="D9D9D9" w:themeFill="background1" w:themeFillShade="D9"/>
          </w:tcPr>
          <w:p w14:paraId="6A5C97D0" w14:textId="5E760DDD" w:rsidR="00DC77BA" w:rsidRPr="001852CD" w:rsidRDefault="008875CD">
            <w:pPr>
              <w:pStyle w:val="TableColumnHeadingLeft"/>
              <w:rPr>
                <w:sz w:val="22"/>
              </w:rPr>
            </w:pPr>
            <w:r>
              <w:t>May - July</w:t>
            </w:r>
            <w:r w:rsidR="009E06F0" w:rsidRPr="001852CD">
              <w:t xml:space="preserve"> </w:t>
            </w:r>
            <w:r w:rsidR="00DC77BA" w:rsidRPr="001852CD">
              <w:t>2018</w:t>
            </w:r>
          </w:p>
        </w:tc>
        <w:tc>
          <w:tcPr>
            <w:tcW w:w="7194" w:type="dxa"/>
            <w:shd w:val="clear" w:color="auto" w:fill="D9D9D9" w:themeFill="background1" w:themeFillShade="D9"/>
          </w:tcPr>
          <w:p w14:paraId="6A5C97D1" w14:textId="77777777" w:rsidR="00DC77BA" w:rsidRPr="001852CD" w:rsidRDefault="001852CD" w:rsidP="00296283">
            <w:pPr>
              <w:pStyle w:val="TableColumnHeadingLeft"/>
              <w:rPr>
                <w:bCs/>
                <w:color w:val="44546A" w:themeColor="text2"/>
                <w:sz w:val="22"/>
              </w:rPr>
            </w:pPr>
            <w:r w:rsidRPr="001852CD">
              <w:t>Consultation</w:t>
            </w:r>
          </w:p>
        </w:tc>
      </w:tr>
      <w:tr w:rsidR="00DC77BA" w:rsidRPr="001852CD" w14:paraId="6A5C97D5" w14:textId="77777777" w:rsidTr="00265506">
        <w:tc>
          <w:tcPr>
            <w:tcW w:w="2660" w:type="dxa"/>
            <w:shd w:val="clear" w:color="auto" w:fill="FFFFFF" w:themeFill="background1"/>
          </w:tcPr>
          <w:p w14:paraId="6A5C97D3" w14:textId="77777777" w:rsidR="00DC77BA" w:rsidRPr="001852CD" w:rsidRDefault="00DC77BA" w:rsidP="00DC77BA">
            <w:pPr>
              <w:pStyle w:val="SingleParagraph"/>
              <w:rPr>
                <w:sz w:val="24"/>
                <w:szCs w:val="24"/>
              </w:rPr>
            </w:pPr>
          </w:p>
        </w:tc>
        <w:tc>
          <w:tcPr>
            <w:tcW w:w="7194" w:type="dxa"/>
            <w:shd w:val="clear" w:color="auto" w:fill="FFFFFF" w:themeFill="background1"/>
          </w:tcPr>
          <w:p w14:paraId="6A5C97D4" w14:textId="49C1B684" w:rsidR="00DC77BA" w:rsidRPr="001852CD" w:rsidRDefault="001852CD" w:rsidP="00157F77">
            <w:pPr>
              <w:pStyle w:val="TableTextLeft"/>
              <w:rPr>
                <w:b/>
                <w:bCs/>
                <w:color w:val="44546A" w:themeColor="text2"/>
              </w:rPr>
            </w:pPr>
            <w:r w:rsidRPr="001852CD">
              <w:t xml:space="preserve">The Chair of the review will conduct </w:t>
            </w:r>
            <w:r w:rsidR="008B4BE8">
              <w:t>roundtable</w:t>
            </w:r>
            <w:r w:rsidRPr="001852CD">
              <w:t xml:space="preserve"> meeting</w:t>
            </w:r>
            <w:r w:rsidR="008B7302">
              <w:t>s</w:t>
            </w:r>
            <w:r w:rsidR="005B6FE2">
              <w:t>. The Board invite</w:t>
            </w:r>
            <w:r w:rsidR="00154D0F">
              <w:t>s</w:t>
            </w:r>
            <w:r w:rsidR="005B6FE2">
              <w:t xml:space="preserve"> </w:t>
            </w:r>
            <w:r w:rsidRPr="001852CD">
              <w:t>small business owners</w:t>
            </w:r>
            <w:r w:rsidR="004D0713">
              <w:t>, representatives of smal</w:t>
            </w:r>
            <w:r w:rsidR="005B6FE2">
              <w:t>l business associations</w:t>
            </w:r>
            <w:r w:rsidRPr="001852CD">
              <w:t xml:space="preserve"> and </w:t>
            </w:r>
            <w:r w:rsidR="004D0713">
              <w:t xml:space="preserve">small business </w:t>
            </w:r>
            <w:r w:rsidRPr="001852CD">
              <w:t>advisers</w:t>
            </w:r>
            <w:r w:rsidR="005B6FE2">
              <w:t xml:space="preserve"> to participate</w:t>
            </w:r>
            <w:r w:rsidRPr="001852CD">
              <w:t>.</w:t>
            </w:r>
          </w:p>
        </w:tc>
      </w:tr>
      <w:tr w:rsidR="001852CD" w:rsidRPr="001852CD" w14:paraId="6A5C97D8" w14:textId="77777777" w:rsidTr="00296283">
        <w:tc>
          <w:tcPr>
            <w:tcW w:w="2660" w:type="dxa"/>
            <w:shd w:val="clear" w:color="auto" w:fill="D9D9D9" w:themeFill="background1" w:themeFillShade="D9"/>
          </w:tcPr>
          <w:p w14:paraId="6A5C97D6" w14:textId="2A4E909C" w:rsidR="00DC77BA" w:rsidRPr="001852CD" w:rsidRDefault="004D0713" w:rsidP="00296283">
            <w:pPr>
              <w:pStyle w:val="TableColumnHeadingLeft"/>
              <w:rPr>
                <w:bCs/>
                <w:color w:val="44546A" w:themeColor="text2"/>
                <w:sz w:val="22"/>
              </w:rPr>
            </w:pPr>
            <w:r w:rsidRPr="001852CD">
              <w:t>Ju</w:t>
            </w:r>
            <w:r w:rsidR="00154D0F">
              <w:t>ly</w:t>
            </w:r>
            <w:r w:rsidRPr="001852CD">
              <w:t xml:space="preserve"> </w:t>
            </w:r>
            <w:r w:rsidR="001852CD" w:rsidRPr="001852CD">
              <w:t>2018</w:t>
            </w:r>
          </w:p>
        </w:tc>
        <w:tc>
          <w:tcPr>
            <w:tcW w:w="7194" w:type="dxa"/>
            <w:shd w:val="clear" w:color="auto" w:fill="D9D9D9" w:themeFill="background1" w:themeFillShade="D9"/>
          </w:tcPr>
          <w:p w14:paraId="6A5C97D7" w14:textId="77777777" w:rsidR="00DC77BA" w:rsidRPr="001852CD" w:rsidRDefault="001852CD" w:rsidP="00296283">
            <w:pPr>
              <w:pStyle w:val="TableColumnHeadingLeft"/>
              <w:rPr>
                <w:bCs/>
                <w:color w:val="44546A" w:themeColor="text2"/>
                <w:sz w:val="22"/>
              </w:rPr>
            </w:pPr>
            <w:r w:rsidRPr="001852CD">
              <w:t>Written submissions</w:t>
            </w:r>
          </w:p>
        </w:tc>
      </w:tr>
      <w:tr w:rsidR="00DC77BA" w:rsidRPr="001852CD" w14:paraId="6A5C97DB" w14:textId="77777777" w:rsidTr="00265506">
        <w:tc>
          <w:tcPr>
            <w:tcW w:w="2660" w:type="dxa"/>
            <w:shd w:val="clear" w:color="auto" w:fill="FFFFFF" w:themeFill="background1"/>
          </w:tcPr>
          <w:p w14:paraId="6A5C97D9" w14:textId="77777777" w:rsidR="00DC77BA" w:rsidRPr="001852CD" w:rsidRDefault="00DC77BA" w:rsidP="00DC77BA">
            <w:pPr>
              <w:pStyle w:val="SingleParagraph"/>
              <w:rPr>
                <w:sz w:val="24"/>
                <w:szCs w:val="24"/>
              </w:rPr>
            </w:pPr>
          </w:p>
        </w:tc>
        <w:tc>
          <w:tcPr>
            <w:tcW w:w="7194" w:type="dxa"/>
            <w:shd w:val="clear" w:color="auto" w:fill="FFFFFF" w:themeFill="background1"/>
          </w:tcPr>
          <w:p w14:paraId="6A5C97DA" w14:textId="39995D9E" w:rsidR="00DC77BA" w:rsidRPr="001852CD" w:rsidRDefault="004B6BEA" w:rsidP="00157F77">
            <w:pPr>
              <w:pStyle w:val="TableTextLeft"/>
              <w:rPr>
                <w:b/>
                <w:bCs/>
                <w:color w:val="44546A" w:themeColor="text2"/>
              </w:rPr>
            </w:pPr>
            <w:r>
              <w:t xml:space="preserve">Submissions in response to the Consultation Guide and any further material </w:t>
            </w:r>
            <w:r w:rsidR="00157F77">
              <w:t xml:space="preserve">that may be </w:t>
            </w:r>
            <w:r>
              <w:t xml:space="preserve">released by the Board </w:t>
            </w:r>
            <w:r w:rsidR="00157F77">
              <w:t xml:space="preserve">will close 20 </w:t>
            </w:r>
            <w:r>
              <w:t>Ju</w:t>
            </w:r>
            <w:r w:rsidR="00154D0F">
              <w:t>ly</w:t>
            </w:r>
            <w:r w:rsidR="00157F77">
              <w:t xml:space="preserve"> </w:t>
            </w:r>
            <w:r>
              <w:t>2018.</w:t>
            </w:r>
          </w:p>
        </w:tc>
      </w:tr>
      <w:tr w:rsidR="001852CD" w:rsidRPr="001852CD" w14:paraId="6A5C97DE" w14:textId="77777777" w:rsidTr="00296283">
        <w:tc>
          <w:tcPr>
            <w:tcW w:w="2660" w:type="dxa"/>
            <w:shd w:val="clear" w:color="auto" w:fill="D9D9D9" w:themeFill="background1" w:themeFillShade="D9"/>
          </w:tcPr>
          <w:p w14:paraId="6A5C97DC" w14:textId="71FECF2B" w:rsidR="00DC77BA" w:rsidRPr="001852CD" w:rsidRDefault="008875CD" w:rsidP="00296283">
            <w:pPr>
              <w:pStyle w:val="TableColumnHeadingLeft"/>
              <w:rPr>
                <w:bCs/>
                <w:color w:val="44546A" w:themeColor="text2"/>
                <w:sz w:val="22"/>
              </w:rPr>
            </w:pPr>
            <w:r>
              <w:t>October</w:t>
            </w:r>
            <w:r w:rsidRPr="001852CD">
              <w:t xml:space="preserve"> </w:t>
            </w:r>
            <w:r w:rsidR="001852CD" w:rsidRPr="001852CD">
              <w:t>2018</w:t>
            </w:r>
          </w:p>
        </w:tc>
        <w:tc>
          <w:tcPr>
            <w:tcW w:w="7194" w:type="dxa"/>
            <w:shd w:val="clear" w:color="auto" w:fill="D9D9D9" w:themeFill="background1" w:themeFillShade="D9"/>
          </w:tcPr>
          <w:p w14:paraId="6A5C97DD" w14:textId="77777777" w:rsidR="00DC77BA" w:rsidRPr="001852CD" w:rsidRDefault="001852CD" w:rsidP="00296283">
            <w:pPr>
              <w:pStyle w:val="TableColumnHeadingLeft"/>
              <w:rPr>
                <w:bCs/>
                <w:color w:val="44546A" w:themeColor="text2"/>
                <w:sz w:val="22"/>
              </w:rPr>
            </w:pPr>
            <w:r w:rsidRPr="001852CD">
              <w:t>Final Report</w:t>
            </w:r>
          </w:p>
        </w:tc>
      </w:tr>
      <w:tr w:rsidR="00DC77BA" w:rsidRPr="001852CD" w14:paraId="6A5C97E1" w14:textId="77777777" w:rsidTr="00265506">
        <w:tc>
          <w:tcPr>
            <w:tcW w:w="2660" w:type="dxa"/>
            <w:shd w:val="clear" w:color="auto" w:fill="FFFFFF" w:themeFill="background1"/>
          </w:tcPr>
          <w:p w14:paraId="6A5C97DF" w14:textId="77777777" w:rsidR="00DC77BA" w:rsidRPr="001852CD" w:rsidRDefault="00DC77BA" w:rsidP="00DC77BA">
            <w:pPr>
              <w:pStyle w:val="SingleParagraph"/>
              <w:rPr>
                <w:sz w:val="24"/>
                <w:szCs w:val="24"/>
              </w:rPr>
            </w:pPr>
          </w:p>
        </w:tc>
        <w:tc>
          <w:tcPr>
            <w:tcW w:w="7194" w:type="dxa"/>
            <w:shd w:val="clear" w:color="auto" w:fill="FFFFFF" w:themeFill="background1"/>
          </w:tcPr>
          <w:p w14:paraId="6A5C97E0" w14:textId="575E9670" w:rsidR="00DC77BA" w:rsidRPr="001852CD" w:rsidRDefault="001852CD" w:rsidP="002046C0">
            <w:pPr>
              <w:pStyle w:val="TableTextLeft"/>
              <w:rPr>
                <w:b/>
                <w:bCs/>
                <w:color w:val="44546A" w:themeColor="text2"/>
              </w:rPr>
            </w:pPr>
            <w:r w:rsidRPr="001852CD">
              <w:t xml:space="preserve">The Board will provide its final report to Government in </w:t>
            </w:r>
            <w:r w:rsidR="002046C0">
              <w:t>October</w:t>
            </w:r>
            <w:r w:rsidRPr="001852CD">
              <w:t>.</w:t>
            </w:r>
          </w:p>
        </w:tc>
      </w:tr>
    </w:tbl>
    <w:p w14:paraId="6A5C97E2" w14:textId="77777777" w:rsidR="00B37C6C" w:rsidRDefault="00B37C6C">
      <w:pPr>
        <w:spacing w:before="0" w:after="160" w:line="259" w:lineRule="auto"/>
      </w:pPr>
      <w:r>
        <w:br w:type="page"/>
      </w:r>
    </w:p>
    <w:p w14:paraId="6A5C97E3" w14:textId="77777777" w:rsidR="00D62752" w:rsidRDefault="00D62752" w:rsidP="00D62752">
      <w:pPr>
        <w:pStyle w:val="Heading1"/>
      </w:pPr>
      <w:bookmarkStart w:id="6" w:name="_Toc510006853"/>
      <w:r w:rsidRPr="00D62752">
        <w:lastRenderedPageBreak/>
        <w:t>How the tax system currently assists small business</w:t>
      </w:r>
      <w:bookmarkEnd w:id="6"/>
    </w:p>
    <w:p w14:paraId="6A5C97E4" w14:textId="77777777" w:rsidR="00E0384D" w:rsidRPr="005044AB" w:rsidRDefault="000B1A58">
      <w:pPr>
        <w:pStyle w:val="Introductionparagraph"/>
      </w:pPr>
      <w:r w:rsidRPr="005044AB">
        <w:t xml:space="preserve">Tax </w:t>
      </w:r>
      <w:r w:rsidR="00020170" w:rsidRPr="005044AB">
        <w:t>concessions for small business taxpayers</w:t>
      </w:r>
      <w:r w:rsidR="00477693" w:rsidRPr="005044AB">
        <w:t xml:space="preserve"> are an important feature of the Australian tax system</w:t>
      </w:r>
      <w:r w:rsidR="00020170" w:rsidRPr="005044AB">
        <w:t xml:space="preserve">. There are several policy rationales underpinning these concessions. Some are aimed at reducing the </w:t>
      </w:r>
      <w:r w:rsidR="00ED3A90">
        <w:t xml:space="preserve">tax </w:t>
      </w:r>
      <w:r w:rsidR="00A140B5" w:rsidRPr="005044AB">
        <w:t>compliance burden</w:t>
      </w:r>
      <w:r w:rsidR="00020170" w:rsidRPr="005044AB">
        <w:t xml:space="preserve">, </w:t>
      </w:r>
      <w:r w:rsidR="00A140B5" w:rsidRPr="005044AB">
        <w:t>whil</w:t>
      </w:r>
      <w:r w:rsidR="00731532" w:rsidRPr="005044AB">
        <w:t>st</w:t>
      </w:r>
      <w:r w:rsidR="00A140B5" w:rsidRPr="005044AB">
        <w:t xml:space="preserve"> other</w:t>
      </w:r>
      <w:r w:rsidR="00350788" w:rsidRPr="005044AB">
        <w:t>s</w:t>
      </w:r>
      <w:r w:rsidR="00A140B5" w:rsidRPr="005044AB">
        <w:t xml:space="preserve"> provide tax relief to promote business success or to provide</w:t>
      </w:r>
      <w:r w:rsidR="00020170" w:rsidRPr="005044AB">
        <w:t xml:space="preserve"> business owners with </w:t>
      </w:r>
      <w:r w:rsidR="00ED3A90">
        <w:t xml:space="preserve">greater </w:t>
      </w:r>
      <w:r w:rsidR="00020170" w:rsidRPr="005044AB">
        <w:t xml:space="preserve">access to funds for their retirement. </w:t>
      </w:r>
      <w:r w:rsidR="00ED3A90">
        <w:t>Other</w:t>
      </w:r>
      <w:r w:rsidR="00ED3A90" w:rsidRPr="005044AB">
        <w:t xml:space="preserve"> </w:t>
      </w:r>
      <w:r w:rsidR="00A140B5" w:rsidRPr="005044AB">
        <w:t>concessions are designed to meet a combination of these objectives.</w:t>
      </w:r>
    </w:p>
    <w:p w14:paraId="6A5C97E6" w14:textId="4057D560" w:rsidR="00496C51" w:rsidRDefault="00496C51" w:rsidP="002651E8">
      <w:pPr>
        <w:pStyle w:val="Introductionparagraph"/>
        <w:spacing w:after="480"/>
      </w:pPr>
      <w:r>
        <w:t>There are a broad range of small business concessions with various eligibility requirements and benefits</w:t>
      </w:r>
      <w:r w:rsidR="00991153">
        <w:t>; some of these are summarised below</w:t>
      </w:r>
      <w:r>
        <w:t xml:space="preserve">. A comprehensive list can be found on the </w:t>
      </w:r>
      <w:hyperlink r:id="rId23" w:history="1">
        <w:r w:rsidRPr="00140822">
          <w:rPr>
            <w:rStyle w:val="Hyperlink"/>
            <w:u w:val="single"/>
          </w:rPr>
          <w:t>Australian Taxation Office’s website</w:t>
        </w:r>
      </w:hyperlink>
      <w:r w:rsidR="00140822">
        <w:t>.</w:t>
      </w:r>
    </w:p>
    <w:tbl>
      <w:tblPr>
        <w:tblStyle w:val="TableGrid"/>
        <w:tblW w:w="0" w:type="auto"/>
        <w:shd w:val="clear" w:color="auto" w:fill="FFFFFF" w:themeFill="background1"/>
        <w:tblLook w:val="04A0" w:firstRow="1" w:lastRow="0" w:firstColumn="1" w:lastColumn="0" w:noHBand="0" w:noVBand="1"/>
      </w:tblPr>
      <w:tblGrid>
        <w:gridCol w:w="2660"/>
        <w:gridCol w:w="7194"/>
      </w:tblGrid>
      <w:tr w:rsidR="00F15E18" w:rsidRPr="006F14B4" w14:paraId="6A5C97E9" w14:textId="77777777" w:rsidTr="00296283">
        <w:tc>
          <w:tcPr>
            <w:tcW w:w="2660" w:type="dxa"/>
            <w:tcBorders>
              <w:bottom w:val="single" w:sz="6" w:space="0" w:color="C00000"/>
            </w:tcBorders>
            <w:shd w:val="clear" w:color="auto" w:fill="F2F2F2" w:themeFill="background1" w:themeFillShade="F2"/>
          </w:tcPr>
          <w:p w14:paraId="6A5C97E7" w14:textId="77777777" w:rsidR="00F15E18" w:rsidRPr="004246FE" w:rsidRDefault="00F15E18" w:rsidP="00296283">
            <w:pPr>
              <w:pStyle w:val="TableColumnHeadingCentred"/>
              <w:rPr>
                <w:bCs/>
                <w:color w:val="44546A" w:themeColor="text2"/>
                <w:sz w:val="22"/>
              </w:rPr>
            </w:pPr>
            <w:r w:rsidRPr="004246FE">
              <w:t>Concession</w:t>
            </w:r>
          </w:p>
        </w:tc>
        <w:tc>
          <w:tcPr>
            <w:tcW w:w="7194" w:type="dxa"/>
            <w:tcBorders>
              <w:bottom w:val="single" w:sz="6" w:space="0" w:color="C00000"/>
            </w:tcBorders>
            <w:shd w:val="clear" w:color="auto" w:fill="F2F2F2" w:themeFill="background1" w:themeFillShade="F2"/>
          </w:tcPr>
          <w:p w14:paraId="6A5C97E8" w14:textId="77777777" w:rsidR="00F15E18" w:rsidRPr="004246FE" w:rsidRDefault="00F15E18" w:rsidP="00296283">
            <w:pPr>
              <w:pStyle w:val="TableColumnHeadingCentred"/>
              <w:rPr>
                <w:sz w:val="22"/>
              </w:rPr>
            </w:pPr>
            <w:r w:rsidRPr="004246FE">
              <w:t>Description</w:t>
            </w:r>
          </w:p>
        </w:tc>
      </w:tr>
      <w:tr w:rsidR="006F39D9" w:rsidRPr="006F14B4" w14:paraId="6A5C97EC" w14:textId="77777777" w:rsidTr="004246FE">
        <w:tc>
          <w:tcPr>
            <w:tcW w:w="2660" w:type="dxa"/>
            <w:tcBorders>
              <w:top w:val="single" w:sz="6" w:space="0" w:color="C00000"/>
              <w:bottom w:val="single" w:sz="6" w:space="0" w:color="C00000"/>
            </w:tcBorders>
            <w:shd w:val="clear" w:color="auto" w:fill="FFFFFF" w:themeFill="background1"/>
          </w:tcPr>
          <w:p w14:paraId="6A5C97EA" w14:textId="77777777" w:rsidR="006F39D9" w:rsidRPr="004246FE" w:rsidRDefault="006F39D9" w:rsidP="00296283">
            <w:pPr>
              <w:pStyle w:val="TableColumnHeadingLeft"/>
              <w:rPr>
                <w:sz w:val="22"/>
              </w:rPr>
            </w:pPr>
            <w:r w:rsidRPr="004246FE">
              <w:t xml:space="preserve">Lower </w:t>
            </w:r>
            <w:r w:rsidR="00ED3A90">
              <w:t>c</w:t>
            </w:r>
            <w:r w:rsidRPr="004246FE">
              <w:t>ompany tax rate</w:t>
            </w:r>
          </w:p>
        </w:tc>
        <w:tc>
          <w:tcPr>
            <w:tcW w:w="7194" w:type="dxa"/>
            <w:tcBorders>
              <w:top w:val="single" w:sz="6" w:space="0" w:color="C00000"/>
              <w:bottom w:val="single" w:sz="6" w:space="0" w:color="C00000"/>
            </w:tcBorders>
            <w:shd w:val="clear" w:color="auto" w:fill="FFFFFF" w:themeFill="background1"/>
          </w:tcPr>
          <w:p w14:paraId="6A5C97EB" w14:textId="24438767" w:rsidR="006F39D9" w:rsidRPr="00296283" w:rsidRDefault="006F39D9" w:rsidP="00140822">
            <w:pPr>
              <w:pStyle w:val="TableTextLeft"/>
            </w:pPr>
            <w:r w:rsidRPr="003E687D">
              <w:t>In the 2015</w:t>
            </w:r>
            <w:r w:rsidR="00140822">
              <w:t>–</w:t>
            </w:r>
            <w:r w:rsidRPr="003E687D">
              <w:t>16 income year</w:t>
            </w:r>
            <w:r w:rsidRPr="004415EA">
              <w:t>, the company tax rate was reduced to 28.5% for companies with aggregated annual turnover of less than $2m. F</w:t>
            </w:r>
            <w:r w:rsidR="00ED3A90">
              <w:t>or</w:t>
            </w:r>
            <w:r w:rsidRPr="004415EA">
              <w:t xml:space="preserve"> the 2016-17 income year, the company tax rate </w:t>
            </w:r>
            <w:r w:rsidR="00ED3A90">
              <w:t>was</w:t>
            </w:r>
            <w:r w:rsidRPr="004415EA">
              <w:t xml:space="preserve"> lowered to 27.5% for companies with a turnover of less than $10m.</w:t>
            </w:r>
            <w:r w:rsidR="00ED3A90">
              <w:t xml:space="preserve"> The reduced rate is available to companies with </w:t>
            </w:r>
            <w:r w:rsidR="00577538">
              <w:t xml:space="preserve">a </w:t>
            </w:r>
            <w:r w:rsidR="00ED3A90">
              <w:t>turnover of less than $25m in the 2017</w:t>
            </w:r>
            <w:r w:rsidR="00140822">
              <w:t>–</w:t>
            </w:r>
            <w:r w:rsidR="00ED3A90">
              <w:t>18 income year.</w:t>
            </w:r>
          </w:p>
        </w:tc>
      </w:tr>
      <w:tr w:rsidR="006F39D9" w:rsidRPr="006F14B4" w14:paraId="6A5C97EF" w14:textId="77777777" w:rsidTr="004246FE">
        <w:tc>
          <w:tcPr>
            <w:tcW w:w="2660" w:type="dxa"/>
            <w:tcBorders>
              <w:top w:val="single" w:sz="6" w:space="0" w:color="C00000"/>
              <w:bottom w:val="single" w:sz="6" w:space="0" w:color="C00000"/>
            </w:tcBorders>
            <w:shd w:val="clear" w:color="auto" w:fill="FFFFFF" w:themeFill="background1"/>
          </w:tcPr>
          <w:p w14:paraId="6A5C97ED" w14:textId="77777777" w:rsidR="006F39D9" w:rsidRPr="004246FE" w:rsidRDefault="006F39D9" w:rsidP="00296283">
            <w:pPr>
              <w:pStyle w:val="TableColumnHeadingLeft"/>
              <w:rPr>
                <w:sz w:val="22"/>
              </w:rPr>
            </w:pPr>
            <w:r w:rsidRPr="004246FE">
              <w:t>Unincorporated small business tax discount</w:t>
            </w:r>
          </w:p>
        </w:tc>
        <w:tc>
          <w:tcPr>
            <w:tcW w:w="7194" w:type="dxa"/>
            <w:tcBorders>
              <w:top w:val="single" w:sz="6" w:space="0" w:color="C00000"/>
              <w:bottom w:val="single" w:sz="6" w:space="0" w:color="C00000"/>
            </w:tcBorders>
            <w:shd w:val="clear" w:color="auto" w:fill="FFFFFF" w:themeFill="background1"/>
          </w:tcPr>
          <w:p w14:paraId="6A5C97EE" w14:textId="035B0101" w:rsidR="006F39D9" w:rsidRPr="00296283" w:rsidRDefault="006F39D9" w:rsidP="00140822">
            <w:pPr>
              <w:pStyle w:val="TableTextLeft"/>
            </w:pPr>
            <w:r w:rsidRPr="003E687D">
              <w:t>Individual taxpayers with business income from an unincorporated small business that has aggregated annual turnover of less than $5m are eligible for an 8% tax discount on the income tax payable on that business income in the 2016</w:t>
            </w:r>
            <w:r w:rsidR="00140822">
              <w:t>–</w:t>
            </w:r>
            <w:r w:rsidRPr="003E687D">
              <w:t xml:space="preserve">17 </w:t>
            </w:r>
            <w:r w:rsidRPr="004415EA">
              <w:t>income year. This discount rate will then be increased over time until it reaches 16% in 2026</w:t>
            </w:r>
            <w:r w:rsidR="00140822">
              <w:t>–</w:t>
            </w:r>
            <w:r w:rsidRPr="004415EA">
              <w:t>27. The discount is capped at $1,000 per individual for each income year and is delivered as a tax offset.</w:t>
            </w:r>
          </w:p>
        </w:tc>
      </w:tr>
      <w:tr w:rsidR="006F39D9" w:rsidRPr="006F14B4" w14:paraId="6A5C97F6" w14:textId="77777777" w:rsidTr="004246FE">
        <w:tc>
          <w:tcPr>
            <w:tcW w:w="2660" w:type="dxa"/>
            <w:tcBorders>
              <w:top w:val="single" w:sz="6" w:space="0" w:color="C00000"/>
              <w:bottom w:val="single" w:sz="6" w:space="0" w:color="C00000"/>
            </w:tcBorders>
            <w:shd w:val="clear" w:color="auto" w:fill="FFFFFF" w:themeFill="background1"/>
          </w:tcPr>
          <w:p w14:paraId="6A5C97F0" w14:textId="77777777" w:rsidR="006F39D9" w:rsidRPr="004246FE" w:rsidRDefault="006F39D9" w:rsidP="00296283">
            <w:pPr>
              <w:pStyle w:val="TableColumnHeadingLeft"/>
              <w:rPr>
                <w:bCs/>
                <w:color w:val="44546A" w:themeColor="text2"/>
                <w:sz w:val="22"/>
              </w:rPr>
            </w:pPr>
            <w:r w:rsidRPr="004246FE">
              <w:t>Capital gains tax concessions</w:t>
            </w:r>
          </w:p>
        </w:tc>
        <w:tc>
          <w:tcPr>
            <w:tcW w:w="7194" w:type="dxa"/>
            <w:tcBorders>
              <w:top w:val="single" w:sz="6" w:space="0" w:color="C00000"/>
              <w:bottom w:val="single" w:sz="6" w:space="0" w:color="C00000"/>
            </w:tcBorders>
            <w:shd w:val="clear" w:color="auto" w:fill="FFFFFF" w:themeFill="background1"/>
          </w:tcPr>
          <w:p w14:paraId="6A5C97F1" w14:textId="1352FDC9" w:rsidR="006F39D9" w:rsidRPr="004246FE" w:rsidRDefault="006F39D9" w:rsidP="00296283">
            <w:pPr>
              <w:pStyle w:val="TableTextLeft"/>
              <w:rPr>
                <w:b/>
                <w:bCs/>
                <w:color w:val="44546A" w:themeColor="text2"/>
              </w:rPr>
            </w:pPr>
            <w:r w:rsidRPr="004246FE">
              <w:t xml:space="preserve">Small business owners with net assets of no more than $6m or annual turnover of less than $2m </w:t>
            </w:r>
            <w:r w:rsidR="00496C51">
              <w:t>are</w:t>
            </w:r>
            <w:r w:rsidRPr="004246FE">
              <w:t xml:space="preserve"> eligible for one or more of four small business capital gains</w:t>
            </w:r>
            <w:r w:rsidR="00120C87">
              <w:t xml:space="preserve"> as follows:</w:t>
            </w:r>
          </w:p>
          <w:p w14:paraId="6A5C97F2" w14:textId="71DECB01" w:rsidR="006F39D9" w:rsidRPr="00120C87" w:rsidRDefault="006F39D9" w:rsidP="00296283">
            <w:pPr>
              <w:pStyle w:val="Bullet"/>
              <w:rPr>
                <w:sz w:val="22"/>
              </w:rPr>
            </w:pPr>
            <w:r w:rsidRPr="00296283">
              <w:rPr>
                <w:sz w:val="22"/>
                <w:szCs w:val="22"/>
              </w:rPr>
              <w:t>a CGT exemption on active small business assets that have been held continuously for 15 years where the taxpayer is permanently incapacitated or reaches the age of 55 and retires;</w:t>
            </w:r>
          </w:p>
          <w:p w14:paraId="5BFFC700" w14:textId="27CB7CA5" w:rsidR="00120C87" w:rsidRPr="00296283" w:rsidRDefault="00120C87" w:rsidP="00296283">
            <w:pPr>
              <w:pStyle w:val="Bullet"/>
              <w:rPr>
                <w:sz w:val="22"/>
              </w:rPr>
            </w:pPr>
            <w:r w:rsidRPr="00120C87">
              <w:rPr>
                <w:sz w:val="22"/>
                <w:szCs w:val="22"/>
              </w:rPr>
              <w:t xml:space="preserve">a 50% reduction of capital gains that arises from the sale of active </w:t>
            </w:r>
            <w:r>
              <w:rPr>
                <w:sz w:val="22"/>
                <w:szCs w:val="22"/>
              </w:rPr>
              <w:t xml:space="preserve">small business </w:t>
            </w:r>
            <w:r w:rsidRPr="00120C87">
              <w:rPr>
                <w:sz w:val="22"/>
                <w:szCs w:val="22"/>
              </w:rPr>
              <w:t>assets</w:t>
            </w:r>
            <w:r>
              <w:rPr>
                <w:sz w:val="22"/>
                <w:szCs w:val="22"/>
              </w:rPr>
              <w:t xml:space="preserve"> (in additio</w:t>
            </w:r>
            <w:r w:rsidR="002651E8">
              <w:rPr>
                <w:sz w:val="22"/>
                <w:szCs w:val="22"/>
              </w:rPr>
              <w:t>n to the general CGT discount);</w:t>
            </w:r>
          </w:p>
          <w:p w14:paraId="06DC15F0" w14:textId="77777777" w:rsidR="00140822" w:rsidRDefault="00120C87" w:rsidP="00140822">
            <w:pPr>
              <w:pStyle w:val="Bullet"/>
              <w:rPr>
                <w:sz w:val="22"/>
              </w:rPr>
            </w:pPr>
            <w:r>
              <w:rPr>
                <w:sz w:val="22"/>
                <w:szCs w:val="22"/>
              </w:rPr>
              <w:t>a</w:t>
            </w:r>
            <w:r w:rsidR="006F39D9" w:rsidRPr="00296283">
              <w:rPr>
                <w:sz w:val="22"/>
                <w:szCs w:val="22"/>
              </w:rPr>
              <w:t>n exemption, up to a lifetime cap of $500,000, on capital gains arising from the sale of active small business assets, where the proceeds of the sale are used for retirement;</w:t>
            </w:r>
          </w:p>
          <w:p w14:paraId="6A5C97F5" w14:textId="56A925D5" w:rsidR="006F39D9" w:rsidRPr="00140822" w:rsidRDefault="00140822" w:rsidP="00140822">
            <w:pPr>
              <w:pStyle w:val="Bullet"/>
              <w:rPr>
                <w:sz w:val="22"/>
              </w:rPr>
            </w:pPr>
            <w:r>
              <w:rPr>
                <w:sz w:val="22"/>
                <w:szCs w:val="22"/>
              </w:rPr>
              <w:lastRenderedPageBreak/>
              <w:t>a CGT roll-</w:t>
            </w:r>
            <w:r w:rsidR="006F39D9" w:rsidRPr="00140822">
              <w:rPr>
                <w:sz w:val="22"/>
                <w:szCs w:val="22"/>
              </w:rPr>
              <w:t>over for capital gains arising from the disposal of active small business assets if the proceeds of the sale are used to purchase other active small business assets</w:t>
            </w:r>
            <w:r w:rsidR="00120C87" w:rsidRPr="00140822">
              <w:rPr>
                <w:sz w:val="22"/>
                <w:szCs w:val="22"/>
              </w:rPr>
              <w:t>.</w:t>
            </w:r>
          </w:p>
        </w:tc>
      </w:tr>
      <w:tr w:rsidR="00496C51" w:rsidRPr="006F14B4" w14:paraId="6A5C97FA" w14:textId="77777777" w:rsidTr="004246FE">
        <w:tc>
          <w:tcPr>
            <w:tcW w:w="2660" w:type="dxa"/>
            <w:tcBorders>
              <w:top w:val="single" w:sz="6" w:space="0" w:color="C00000"/>
              <w:bottom w:val="single" w:sz="6" w:space="0" w:color="C00000"/>
            </w:tcBorders>
            <w:shd w:val="clear" w:color="auto" w:fill="FFFFFF" w:themeFill="background1"/>
          </w:tcPr>
          <w:p w14:paraId="6A5C97F7" w14:textId="77777777" w:rsidR="00496C51" w:rsidRPr="004246FE" w:rsidRDefault="00496C51" w:rsidP="00296283">
            <w:pPr>
              <w:pStyle w:val="TableColumnHeadingLeft"/>
            </w:pPr>
            <w:r>
              <w:lastRenderedPageBreak/>
              <w:t>Instant asset write-off and s</w:t>
            </w:r>
            <w:r w:rsidRPr="00314234">
              <w:t>implified depreciation rules</w:t>
            </w:r>
          </w:p>
        </w:tc>
        <w:tc>
          <w:tcPr>
            <w:tcW w:w="7194" w:type="dxa"/>
            <w:tcBorders>
              <w:top w:val="single" w:sz="6" w:space="0" w:color="C00000"/>
              <w:bottom w:val="single" w:sz="6" w:space="0" w:color="C00000"/>
            </w:tcBorders>
            <w:shd w:val="clear" w:color="auto" w:fill="FFFFFF" w:themeFill="background1"/>
          </w:tcPr>
          <w:p w14:paraId="6A5C97F8" w14:textId="1E044182" w:rsidR="00496C51" w:rsidRPr="00314234" w:rsidRDefault="00496C51" w:rsidP="00F711DF">
            <w:pPr>
              <w:pStyle w:val="TableTextLeft"/>
              <w:rPr>
                <w:b/>
                <w:bCs/>
                <w:color w:val="44546A" w:themeColor="text2"/>
              </w:rPr>
            </w:pPr>
            <w:r w:rsidRPr="00314234">
              <w:t>Small business entities with an aggregated annual turnover of less than $10m are able to access concessional depreciation arrangements for business assets. Under the concessions, small business entities can immediately deduct assets that cost less than a threshold amount. From 12 May 2015 until 30 June 201</w:t>
            </w:r>
            <w:r w:rsidR="00146F60">
              <w:t>8</w:t>
            </w:r>
            <w:r w:rsidRPr="00314234">
              <w:t xml:space="preserve">, the threshold is $20,000. The </w:t>
            </w:r>
            <w:r w:rsidR="00504865">
              <w:t xml:space="preserve">Government announced that it would extend the concession </w:t>
            </w:r>
            <w:r w:rsidR="00146F60">
              <w:t xml:space="preserve">for a further year until 30 </w:t>
            </w:r>
            <w:r w:rsidR="00504865">
              <w:t>Ju</w:t>
            </w:r>
            <w:r w:rsidR="00146F60">
              <w:t>ne</w:t>
            </w:r>
            <w:r w:rsidR="00504865">
              <w:t xml:space="preserve"> 2019 as part of the 2018</w:t>
            </w:r>
            <w:r w:rsidR="00504865">
              <w:noBreakHyphen/>
              <w:t xml:space="preserve">19 Budget. The </w:t>
            </w:r>
            <w:r w:rsidRPr="00314234">
              <w:t>threshold is scheduled to return to $1,000 from 1 July 201</w:t>
            </w:r>
            <w:r w:rsidR="00504865">
              <w:t>9</w:t>
            </w:r>
            <w:r w:rsidRPr="00314234">
              <w:t>.</w:t>
            </w:r>
          </w:p>
          <w:p w14:paraId="6A5C97F9" w14:textId="77777777" w:rsidR="00496C51" w:rsidRPr="004246FE" w:rsidRDefault="00496C51" w:rsidP="00296283">
            <w:pPr>
              <w:pStyle w:val="TableTextLeft"/>
            </w:pPr>
            <w:r w:rsidRPr="00314234">
              <w:t>In addition to the immediate write-off, assets above the threshold are depreciated through simplified pooling arrangements at a rate of 30% per year (15% in the first year). The general small business pool can also be immediately deducted at the end of the income year if its value is less than the immediate write-off threshold (before deducting depreciation for the year).</w:t>
            </w:r>
          </w:p>
        </w:tc>
      </w:tr>
      <w:tr w:rsidR="00496C51" w:rsidRPr="006F14B4" w14:paraId="6A5C97FD" w14:textId="77777777" w:rsidTr="004246FE">
        <w:tc>
          <w:tcPr>
            <w:tcW w:w="2660" w:type="dxa"/>
            <w:tcBorders>
              <w:top w:val="single" w:sz="6" w:space="0" w:color="C00000"/>
              <w:bottom w:val="single" w:sz="6" w:space="0" w:color="C00000"/>
            </w:tcBorders>
            <w:shd w:val="clear" w:color="auto" w:fill="FFFFFF" w:themeFill="background1"/>
          </w:tcPr>
          <w:p w14:paraId="6A5C97FB" w14:textId="0AD3F470" w:rsidR="00496C51" w:rsidRPr="004246FE" w:rsidRDefault="00F5682B" w:rsidP="00C209E0">
            <w:pPr>
              <w:pStyle w:val="TableColumnHeadingLeft"/>
            </w:pPr>
            <w:r>
              <w:t>Refundable</w:t>
            </w:r>
            <w:r w:rsidR="00496C51">
              <w:t xml:space="preserve"> R&amp;D tax </w:t>
            </w:r>
          </w:p>
        </w:tc>
        <w:tc>
          <w:tcPr>
            <w:tcW w:w="7194" w:type="dxa"/>
            <w:tcBorders>
              <w:top w:val="single" w:sz="6" w:space="0" w:color="C00000"/>
              <w:bottom w:val="single" w:sz="6" w:space="0" w:color="C00000"/>
            </w:tcBorders>
            <w:shd w:val="clear" w:color="auto" w:fill="FFFFFF" w:themeFill="background1"/>
          </w:tcPr>
          <w:p w14:paraId="6A5C97FC" w14:textId="0004A6B4" w:rsidR="00496C51" w:rsidRPr="004246FE" w:rsidRDefault="00146F60" w:rsidP="00146F60">
            <w:pPr>
              <w:pStyle w:val="TableTextLeft"/>
            </w:pPr>
            <w:r>
              <w:t>In the 2018</w:t>
            </w:r>
            <w:r>
              <w:noBreakHyphen/>
              <w:t>19 Budget the Government announced that f</w:t>
            </w:r>
            <w:r w:rsidRPr="00146F60">
              <w:t>or companies with aggregated annual turnover below $20 million, the refundable R&amp;D offset will be a premium of 13.5 percentage points above a claimant’s company tax rate. Cash refunds from the refundable R&amp;D tax offset will be capped at $4 million per annum. R&amp;D tax offsets that cannot be refunded will be carried forward as non</w:t>
            </w:r>
            <w:r>
              <w:noBreakHyphen/>
            </w:r>
            <w:r w:rsidRPr="00146F60">
              <w:t>refundable tax offsets to future income years.</w:t>
            </w:r>
            <w:r w:rsidR="00670E21">
              <w:t xml:space="preserve"> </w:t>
            </w:r>
          </w:p>
        </w:tc>
      </w:tr>
      <w:tr w:rsidR="00496C51" w:rsidRPr="006F14B4" w14:paraId="6A5C9800" w14:textId="77777777" w:rsidTr="004246FE">
        <w:tc>
          <w:tcPr>
            <w:tcW w:w="2660" w:type="dxa"/>
            <w:tcBorders>
              <w:top w:val="single" w:sz="6" w:space="0" w:color="C00000"/>
              <w:bottom w:val="single" w:sz="6" w:space="0" w:color="C00000"/>
            </w:tcBorders>
            <w:shd w:val="clear" w:color="auto" w:fill="FFFFFF" w:themeFill="background1"/>
          </w:tcPr>
          <w:p w14:paraId="6A5C97FE" w14:textId="77777777" w:rsidR="00496C51" w:rsidRPr="004246FE" w:rsidRDefault="00496C51" w:rsidP="00296283">
            <w:pPr>
              <w:pStyle w:val="TableColumnHeadingLeft"/>
              <w:rPr>
                <w:sz w:val="22"/>
              </w:rPr>
            </w:pPr>
            <w:r w:rsidRPr="004246FE">
              <w:t>Restructure roll-over relief</w:t>
            </w:r>
          </w:p>
        </w:tc>
        <w:tc>
          <w:tcPr>
            <w:tcW w:w="7194" w:type="dxa"/>
            <w:tcBorders>
              <w:top w:val="single" w:sz="6" w:space="0" w:color="C00000"/>
              <w:bottom w:val="single" w:sz="6" w:space="0" w:color="C00000"/>
            </w:tcBorders>
            <w:shd w:val="clear" w:color="auto" w:fill="FFFFFF" w:themeFill="background1"/>
          </w:tcPr>
          <w:p w14:paraId="6A5C97FF" w14:textId="77777777" w:rsidR="00496C51" w:rsidRPr="004246FE" w:rsidRDefault="00496C51" w:rsidP="00296283">
            <w:pPr>
              <w:pStyle w:val="TableTextLeft"/>
              <w:rPr>
                <w:b/>
                <w:bCs/>
                <w:color w:val="002060"/>
                <w:szCs w:val="24"/>
              </w:rPr>
            </w:pPr>
            <w:r w:rsidRPr="004246FE">
              <w:t>Owners of small business active assets are eligible for CGT and income tax roll-over relief for a ‘genuine restructure’ of their business, provided the underlying economic ownership of the assets is unchanged. The roll-over is available for businesses with an aggregated annual turnover of less than $10m.</w:t>
            </w:r>
          </w:p>
        </w:tc>
      </w:tr>
      <w:tr w:rsidR="00496C51" w:rsidRPr="006F14B4" w14:paraId="6A5C9803" w14:textId="77777777" w:rsidTr="004246FE">
        <w:tc>
          <w:tcPr>
            <w:tcW w:w="2660" w:type="dxa"/>
            <w:tcBorders>
              <w:top w:val="single" w:sz="6" w:space="0" w:color="C00000"/>
              <w:bottom w:val="single" w:sz="6" w:space="0" w:color="C00000"/>
            </w:tcBorders>
            <w:shd w:val="clear" w:color="auto" w:fill="FFFFFF" w:themeFill="background1"/>
          </w:tcPr>
          <w:p w14:paraId="6A5C9801" w14:textId="77777777" w:rsidR="00496C51" w:rsidRPr="004246FE" w:rsidRDefault="00496C51" w:rsidP="00296283">
            <w:pPr>
              <w:pStyle w:val="TableColumnHeadingLeft"/>
              <w:rPr>
                <w:bCs/>
                <w:color w:val="44546A" w:themeColor="text2"/>
                <w:sz w:val="22"/>
              </w:rPr>
            </w:pPr>
            <w:r w:rsidRPr="004246FE">
              <w:t>Immediate deduction for professional expenses</w:t>
            </w:r>
          </w:p>
        </w:tc>
        <w:tc>
          <w:tcPr>
            <w:tcW w:w="7194" w:type="dxa"/>
            <w:tcBorders>
              <w:top w:val="single" w:sz="6" w:space="0" w:color="C00000"/>
              <w:bottom w:val="single" w:sz="6" w:space="0" w:color="C00000"/>
            </w:tcBorders>
            <w:shd w:val="clear" w:color="auto" w:fill="FFFFFF" w:themeFill="background1"/>
          </w:tcPr>
          <w:p w14:paraId="6A5C9802" w14:textId="77777777" w:rsidR="00496C51" w:rsidRPr="004246FE" w:rsidRDefault="00496C51" w:rsidP="00296283">
            <w:pPr>
              <w:pStyle w:val="TableTextLeft"/>
              <w:rPr>
                <w:b/>
                <w:bCs/>
                <w:color w:val="44546A" w:themeColor="text2"/>
                <w:szCs w:val="24"/>
              </w:rPr>
            </w:pPr>
            <w:r w:rsidRPr="004246FE">
              <w:t>Small business entities with an aggregated annual turnover of less than $10</w:t>
            </w:r>
            <w:r>
              <w:t>m</w:t>
            </w:r>
            <w:r w:rsidRPr="004246FE">
              <w:t xml:space="preserve"> can immediately deduct a range of professional expenses associated with starting a new business, such as professional, legal and accounting advice. Previously, these professional costs were able to be deducted over a five year period.</w:t>
            </w:r>
          </w:p>
        </w:tc>
      </w:tr>
      <w:tr w:rsidR="00496C51" w:rsidRPr="006F14B4" w14:paraId="6A5C9806" w14:textId="77777777" w:rsidTr="004246FE">
        <w:tc>
          <w:tcPr>
            <w:tcW w:w="2660" w:type="dxa"/>
            <w:tcBorders>
              <w:top w:val="single" w:sz="6" w:space="0" w:color="C00000"/>
              <w:bottom w:val="single" w:sz="6" w:space="0" w:color="C00000"/>
            </w:tcBorders>
            <w:shd w:val="clear" w:color="auto" w:fill="FFFFFF" w:themeFill="background1"/>
          </w:tcPr>
          <w:p w14:paraId="6A5C9804" w14:textId="77777777" w:rsidR="00496C51" w:rsidRPr="004246FE" w:rsidRDefault="00496C51" w:rsidP="00296283">
            <w:pPr>
              <w:pStyle w:val="TableColumnHeadingLeft"/>
            </w:pPr>
            <w:r w:rsidRPr="004246FE">
              <w:t>Simplified trading stock rules</w:t>
            </w:r>
          </w:p>
        </w:tc>
        <w:tc>
          <w:tcPr>
            <w:tcW w:w="7194" w:type="dxa"/>
            <w:tcBorders>
              <w:top w:val="single" w:sz="6" w:space="0" w:color="C00000"/>
              <w:bottom w:val="single" w:sz="6" w:space="0" w:color="C00000"/>
            </w:tcBorders>
            <w:shd w:val="clear" w:color="auto" w:fill="FFFFFF" w:themeFill="background1"/>
          </w:tcPr>
          <w:p w14:paraId="6A5C9805" w14:textId="77777777" w:rsidR="00496C51" w:rsidRPr="004246FE" w:rsidRDefault="00496C51" w:rsidP="00296283">
            <w:pPr>
              <w:pStyle w:val="TableTextLeft"/>
            </w:pPr>
            <w:r w:rsidRPr="004246FE">
              <w:t>Small business entities with an aggregated annual turnover of less than $10m may choose to use a simplified trading stock regime. Under this regime, small businesses may choose not to account for the changes in the value of stock for an income year if the difference between the opening value of stock on hand and a reasonable estimate of stock on hand at the end of the year does not exceed $5000.</w:t>
            </w:r>
          </w:p>
        </w:tc>
      </w:tr>
      <w:tr w:rsidR="00496C51" w:rsidRPr="006F14B4" w14:paraId="6A5C9809" w14:textId="77777777" w:rsidTr="004246FE">
        <w:tc>
          <w:tcPr>
            <w:tcW w:w="2660" w:type="dxa"/>
            <w:tcBorders>
              <w:top w:val="single" w:sz="6" w:space="0" w:color="C00000"/>
              <w:bottom w:val="single" w:sz="6" w:space="0" w:color="C00000"/>
            </w:tcBorders>
            <w:shd w:val="clear" w:color="auto" w:fill="FFFFFF" w:themeFill="background1"/>
          </w:tcPr>
          <w:p w14:paraId="6A5C9807" w14:textId="4AC17F71" w:rsidR="00496C51" w:rsidRPr="004246FE" w:rsidRDefault="00C114D0" w:rsidP="00C114D0">
            <w:pPr>
              <w:pStyle w:val="TableColumnHeadingLeft"/>
            </w:pPr>
            <w:r>
              <w:t xml:space="preserve">Exemption - </w:t>
            </w:r>
            <w:r w:rsidR="00496C51" w:rsidRPr="004246FE">
              <w:t>tax shelter prepayments for certain passive investments</w:t>
            </w:r>
          </w:p>
        </w:tc>
        <w:tc>
          <w:tcPr>
            <w:tcW w:w="7194" w:type="dxa"/>
            <w:tcBorders>
              <w:top w:val="single" w:sz="6" w:space="0" w:color="C00000"/>
              <w:bottom w:val="single" w:sz="6" w:space="0" w:color="C00000"/>
            </w:tcBorders>
            <w:shd w:val="clear" w:color="auto" w:fill="FFFFFF" w:themeFill="background1"/>
          </w:tcPr>
          <w:p w14:paraId="6A5C9808" w14:textId="77777777" w:rsidR="00496C51" w:rsidRPr="004246FE" w:rsidRDefault="00496C51" w:rsidP="00296283">
            <w:pPr>
              <w:pStyle w:val="TableTextLeft"/>
            </w:pPr>
            <w:r w:rsidRPr="004246FE">
              <w:t>Small businesses may immediately deduct prepaid expenditure subject to certain rules.</w:t>
            </w:r>
            <w:bookmarkStart w:id="7" w:name="_GoBack"/>
            <w:bookmarkEnd w:id="7"/>
          </w:p>
        </w:tc>
      </w:tr>
      <w:tr w:rsidR="00496C51" w:rsidRPr="006F14B4" w14:paraId="6A5C980C" w14:textId="77777777" w:rsidTr="004246FE">
        <w:tc>
          <w:tcPr>
            <w:tcW w:w="2660" w:type="dxa"/>
            <w:tcBorders>
              <w:top w:val="single" w:sz="6" w:space="0" w:color="C00000"/>
              <w:bottom w:val="single" w:sz="6" w:space="0" w:color="C00000"/>
            </w:tcBorders>
            <w:shd w:val="clear" w:color="auto" w:fill="FFFFFF" w:themeFill="background1"/>
          </w:tcPr>
          <w:p w14:paraId="6A5C980A" w14:textId="77777777" w:rsidR="00496C51" w:rsidRPr="004246FE" w:rsidRDefault="00496C51" w:rsidP="00296283">
            <w:pPr>
              <w:pStyle w:val="TableColumnHeadingLeft"/>
            </w:pPr>
            <w:r>
              <w:lastRenderedPageBreak/>
              <w:t>Small business carve-out for debt and equity rules</w:t>
            </w:r>
          </w:p>
        </w:tc>
        <w:tc>
          <w:tcPr>
            <w:tcW w:w="7194" w:type="dxa"/>
            <w:tcBorders>
              <w:top w:val="single" w:sz="6" w:space="0" w:color="C00000"/>
              <w:bottom w:val="single" w:sz="6" w:space="0" w:color="C00000"/>
            </w:tcBorders>
            <w:shd w:val="clear" w:color="auto" w:fill="FFFFFF" w:themeFill="background1"/>
          </w:tcPr>
          <w:p w14:paraId="6A5C980B" w14:textId="77777777" w:rsidR="00496C51" w:rsidRPr="004246FE" w:rsidRDefault="00496C51" w:rsidP="00296283">
            <w:pPr>
              <w:pStyle w:val="TableTextLeft"/>
            </w:pPr>
            <w:r w:rsidRPr="00722430">
              <w:t xml:space="preserve">If a company </w:t>
            </w:r>
            <w:r w:rsidRPr="003E687D">
              <w:t>has a turnover of less than $20 million, there is a carve-out which means related party ‘at call’ loans will be treated as being debt interests rather than equity interests.</w:t>
            </w:r>
          </w:p>
        </w:tc>
      </w:tr>
      <w:tr w:rsidR="00496C51" w:rsidRPr="006F14B4" w14:paraId="6A5C980F" w14:textId="77777777" w:rsidTr="004246FE">
        <w:tc>
          <w:tcPr>
            <w:tcW w:w="2660" w:type="dxa"/>
            <w:tcBorders>
              <w:top w:val="single" w:sz="6" w:space="0" w:color="C00000"/>
              <w:bottom w:val="single" w:sz="6" w:space="0" w:color="C00000"/>
            </w:tcBorders>
            <w:shd w:val="clear" w:color="auto" w:fill="FFFFFF" w:themeFill="background1"/>
          </w:tcPr>
          <w:p w14:paraId="6A5C980D" w14:textId="77777777" w:rsidR="00496C51" w:rsidRPr="004246FE" w:rsidRDefault="00496C51" w:rsidP="00296283">
            <w:pPr>
              <w:pStyle w:val="TableColumnHeadingLeft"/>
            </w:pPr>
            <w:r w:rsidRPr="004246FE">
              <w:t>PAYG: instalments based on GDP-adjusted notional tax</w:t>
            </w:r>
          </w:p>
        </w:tc>
        <w:tc>
          <w:tcPr>
            <w:tcW w:w="7194" w:type="dxa"/>
            <w:tcBorders>
              <w:top w:val="single" w:sz="6" w:space="0" w:color="C00000"/>
              <w:bottom w:val="single" w:sz="6" w:space="0" w:color="C00000"/>
            </w:tcBorders>
            <w:shd w:val="clear" w:color="auto" w:fill="FFFFFF" w:themeFill="background1"/>
          </w:tcPr>
          <w:p w14:paraId="6A5C980E" w14:textId="747CD15E" w:rsidR="00496C51" w:rsidRPr="004246FE" w:rsidRDefault="00496C51" w:rsidP="00296283">
            <w:pPr>
              <w:pStyle w:val="TableTextLeft"/>
            </w:pPr>
            <w:r w:rsidRPr="004246FE">
              <w:t>Small businesses can elect to have their pay as you go instalments calculated for them by the ATO by apply</w:t>
            </w:r>
            <w:r w:rsidR="00120C87">
              <w:t>ing</w:t>
            </w:r>
            <w:r w:rsidRPr="004246FE">
              <w:t xml:space="preserve"> an adjustment to previously reported information.</w:t>
            </w:r>
          </w:p>
        </w:tc>
      </w:tr>
      <w:tr w:rsidR="00496C51" w:rsidRPr="006F14B4" w14:paraId="6A5C9812" w14:textId="77777777" w:rsidTr="004246FE">
        <w:tc>
          <w:tcPr>
            <w:tcW w:w="2660" w:type="dxa"/>
            <w:tcBorders>
              <w:top w:val="single" w:sz="6" w:space="0" w:color="C00000"/>
              <w:bottom w:val="single" w:sz="6" w:space="0" w:color="C00000"/>
            </w:tcBorders>
            <w:shd w:val="clear" w:color="auto" w:fill="FFFFFF" w:themeFill="background1"/>
          </w:tcPr>
          <w:p w14:paraId="6A5C9810" w14:textId="77777777" w:rsidR="00496C51" w:rsidRPr="004246FE" w:rsidRDefault="00496C51" w:rsidP="00296283">
            <w:pPr>
              <w:pStyle w:val="TableColumnHeadingLeft"/>
            </w:pPr>
            <w:r w:rsidRPr="004246FE">
              <w:t>Two-year amendment period</w:t>
            </w:r>
          </w:p>
        </w:tc>
        <w:tc>
          <w:tcPr>
            <w:tcW w:w="7194" w:type="dxa"/>
            <w:tcBorders>
              <w:top w:val="single" w:sz="6" w:space="0" w:color="C00000"/>
              <w:bottom w:val="single" w:sz="6" w:space="0" w:color="C00000"/>
            </w:tcBorders>
            <w:shd w:val="clear" w:color="auto" w:fill="FFFFFF" w:themeFill="background1"/>
          </w:tcPr>
          <w:p w14:paraId="6A5C9811" w14:textId="77777777" w:rsidR="00496C51" w:rsidRPr="004246FE" w:rsidRDefault="00496C51" w:rsidP="00296283">
            <w:pPr>
              <w:pStyle w:val="TableTextLeft"/>
            </w:pPr>
            <w:r>
              <w:t>A small business entity will generally be eligible for a two-year amendment period for tax assessments instead of the standard four years.</w:t>
            </w:r>
          </w:p>
        </w:tc>
      </w:tr>
      <w:tr w:rsidR="00496C51" w:rsidRPr="006F14B4" w14:paraId="6A5C9815" w14:textId="77777777" w:rsidTr="004246FE">
        <w:tc>
          <w:tcPr>
            <w:tcW w:w="2660" w:type="dxa"/>
            <w:tcBorders>
              <w:top w:val="single" w:sz="6" w:space="0" w:color="C00000"/>
              <w:bottom w:val="single" w:sz="6" w:space="0" w:color="C00000"/>
            </w:tcBorders>
            <w:shd w:val="clear" w:color="auto" w:fill="FFFFFF" w:themeFill="background1"/>
          </w:tcPr>
          <w:p w14:paraId="6A5C9813" w14:textId="77777777" w:rsidR="00496C51" w:rsidRPr="004246FE" w:rsidRDefault="00496C51" w:rsidP="00296283">
            <w:pPr>
              <w:pStyle w:val="TableColumnHeadingLeft"/>
            </w:pPr>
            <w:r w:rsidRPr="004246FE">
              <w:t>Fringe benefits tax: employee car parking exemption</w:t>
            </w:r>
          </w:p>
        </w:tc>
        <w:tc>
          <w:tcPr>
            <w:tcW w:w="7194" w:type="dxa"/>
            <w:tcBorders>
              <w:top w:val="single" w:sz="6" w:space="0" w:color="C00000"/>
              <w:bottom w:val="single" w:sz="6" w:space="0" w:color="C00000"/>
            </w:tcBorders>
            <w:shd w:val="clear" w:color="auto" w:fill="FFFFFF" w:themeFill="background1"/>
          </w:tcPr>
          <w:p w14:paraId="6A5C9814" w14:textId="77777777" w:rsidR="00496C51" w:rsidRPr="004246FE" w:rsidRDefault="00496C51" w:rsidP="00296283">
            <w:pPr>
              <w:pStyle w:val="TableTextLeft"/>
              <w:rPr>
                <w:b/>
                <w:bCs/>
                <w:color w:val="44546A" w:themeColor="text2"/>
                <w:lang w:val="en"/>
              </w:rPr>
            </w:pPr>
            <w:r w:rsidRPr="004246FE">
              <w:t>Car parking benefits provided to employees of small businesses are exempt from fringe benefits tax if the parking is not provided in a commercial car park. The employer must not be a government body, listed public company or subsidiary of a listed public company, and the employer’s total income must be less than $10</w:t>
            </w:r>
            <w:r>
              <w:t>m</w:t>
            </w:r>
            <w:r w:rsidRPr="004246FE">
              <w:t>.</w:t>
            </w:r>
          </w:p>
        </w:tc>
      </w:tr>
      <w:tr w:rsidR="00496C51" w:rsidRPr="006F14B4" w14:paraId="6A5C9818" w14:textId="77777777" w:rsidTr="004246FE">
        <w:tc>
          <w:tcPr>
            <w:tcW w:w="2660" w:type="dxa"/>
            <w:tcBorders>
              <w:top w:val="single" w:sz="6" w:space="0" w:color="C00000"/>
              <w:bottom w:val="single" w:sz="6" w:space="0" w:color="C00000"/>
            </w:tcBorders>
            <w:shd w:val="clear" w:color="auto" w:fill="FFFFFF" w:themeFill="background1"/>
          </w:tcPr>
          <w:p w14:paraId="6A5C9816" w14:textId="77777777" w:rsidR="00496C51" w:rsidRPr="004246FE" w:rsidRDefault="00496C51" w:rsidP="00296283">
            <w:pPr>
              <w:pStyle w:val="TableColumnHeadingLeft"/>
            </w:pPr>
            <w:r w:rsidRPr="004246FE">
              <w:t xml:space="preserve">Fringe benefits tax: multiple portable electronic devices </w:t>
            </w:r>
          </w:p>
        </w:tc>
        <w:tc>
          <w:tcPr>
            <w:tcW w:w="7194" w:type="dxa"/>
            <w:tcBorders>
              <w:top w:val="single" w:sz="6" w:space="0" w:color="C00000"/>
              <w:bottom w:val="single" w:sz="6" w:space="0" w:color="C00000"/>
            </w:tcBorders>
            <w:shd w:val="clear" w:color="auto" w:fill="FFFFFF" w:themeFill="background1"/>
          </w:tcPr>
          <w:p w14:paraId="6A5C9817" w14:textId="77777777" w:rsidR="00496C51" w:rsidRPr="004246FE" w:rsidRDefault="00496C51" w:rsidP="00296283">
            <w:pPr>
              <w:pStyle w:val="TableTextLeft"/>
              <w:rPr>
                <w:b/>
                <w:bCs/>
                <w:color w:val="44546A" w:themeColor="text2"/>
                <w:lang w:val="en"/>
              </w:rPr>
            </w:pPr>
            <w:r w:rsidRPr="004246FE">
              <w:t>From 1 April 2016, an FBT exemption applies to multiple work-related portable electronic devices provided by a small business to its employees– even if the devices have substantially identical functions. This exemption applies to portable electronic devices mainly for use in the employee’s employment.</w:t>
            </w:r>
          </w:p>
        </w:tc>
      </w:tr>
      <w:tr w:rsidR="00496C51" w:rsidRPr="006F14B4" w14:paraId="6A5C9820" w14:textId="77777777" w:rsidTr="004246FE">
        <w:tc>
          <w:tcPr>
            <w:tcW w:w="2660" w:type="dxa"/>
            <w:tcBorders>
              <w:top w:val="single" w:sz="6" w:space="0" w:color="C00000"/>
              <w:bottom w:val="single" w:sz="6" w:space="0" w:color="C00000"/>
            </w:tcBorders>
            <w:shd w:val="clear" w:color="auto" w:fill="FFFFFF" w:themeFill="background1"/>
          </w:tcPr>
          <w:p w14:paraId="6A5C9819" w14:textId="77777777" w:rsidR="00496C51" w:rsidRPr="004246FE" w:rsidRDefault="00496C51" w:rsidP="00296283">
            <w:pPr>
              <w:pStyle w:val="TableColumnHeadingLeft"/>
            </w:pPr>
            <w:r w:rsidRPr="004246FE">
              <w:t>GST concessions</w:t>
            </w:r>
          </w:p>
        </w:tc>
        <w:tc>
          <w:tcPr>
            <w:tcW w:w="7194" w:type="dxa"/>
            <w:tcBorders>
              <w:top w:val="single" w:sz="6" w:space="0" w:color="C00000"/>
              <w:bottom w:val="single" w:sz="6" w:space="0" w:color="C00000"/>
            </w:tcBorders>
            <w:shd w:val="clear" w:color="auto" w:fill="FFFFFF" w:themeFill="background1"/>
          </w:tcPr>
          <w:p w14:paraId="6A5C981A" w14:textId="77777777" w:rsidR="00496C51" w:rsidRPr="00E657B7" w:rsidRDefault="00496C51" w:rsidP="00296283">
            <w:pPr>
              <w:pStyle w:val="TableTextLeft"/>
              <w:rPr>
                <w:b/>
                <w:bCs/>
                <w:color w:val="44546A" w:themeColor="text2"/>
                <w:szCs w:val="22"/>
              </w:rPr>
            </w:pPr>
            <w:r w:rsidRPr="00E657B7">
              <w:rPr>
                <w:szCs w:val="22"/>
              </w:rPr>
              <w:t>Small businesses are entitled to a range of GST concessions including:</w:t>
            </w:r>
          </w:p>
          <w:p w14:paraId="6A5C981B" w14:textId="77777777" w:rsidR="00496C51" w:rsidRPr="00E657B7" w:rsidRDefault="00496C51" w:rsidP="00296283">
            <w:pPr>
              <w:pStyle w:val="Bullet"/>
              <w:rPr>
                <w:sz w:val="22"/>
                <w:szCs w:val="22"/>
              </w:rPr>
            </w:pPr>
            <w:r w:rsidRPr="00E657B7">
              <w:rPr>
                <w:sz w:val="22"/>
                <w:szCs w:val="22"/>
              </w:rPr>
              <w:t>the option to account for GST on a cash basis</w:t>
            </w:r>
          </w:p>
          <w:p w14:paraId="6A5C981C" w14:textId="77777777" w:rsidR="00496C51" w:rsidRPr="00E657B7" w:rsidRDefault="00496C51" w:rsidP="00296283">
            <w:pPr>
              <w:pStyle w:val="Bullet"/>
              <w:rPr>
                <w:sz w:val="22"/>
                <w:szCs w:val="22"/>
              </w:rPr>
            </w:pPr>
            <w:r w:rsidRPr="00E657B7">
              <w:rPr>
                <w:sz w:val="22"/>
                <w:szCs w:val="22"/>
              </w:rPr>
              <w:t>the option to pay GST by quarterly instalments and to lodge an annual return</w:t>
            </w:r>
          </w:p>
          <w:p w14:paraId="6A5C981D" w14:textId="77777777" w:rsidR="00496C51" w:rsidRPr="00E657B7" w:rsidRDefault="00496C51" w:rsidP="00296283">
            <w:pPr>
              <w:pStyle w:val="Bullet"/>
              <w:rPr>
                <w:sz w:val="22"/>
                <w:szCs w:val="22"/>
              </w:rPr>
            </w:pPr>
            <w:r w:rsidRPr="00E657B7">
              <w:rPr>
                <w:sz w:val="22"/>
                <w:szCs w:val="22"/>
              </w:rPr>
              <w:t>the option to lodge a simplified business activity statement to report GST</w:t>
            </w:r>
          </w:p>
          <w:p w14:paraId="6A5C981E" w14:textId="77777777" w:rsidR="00496C51" w:rsidRPr="00E657B7" w:rsidRDefault="00496C51" w:rsidP="00296283">
            <w:pPr>
              <w:pStyle w:val="Bullet"/>
              <w:rPr>
                <w:sz w:val="22"/>
                <w:szCs w:val="22"/>
              </w:rPr>
            </w:pPr>
            <w:r w:rsidRPr="00E657B7">
              <w:rPr>
                <w:sz w:val="22"/>
                <w:szCs w:val="22"/>
              </w:rPr>
              <w:t xml:space="preserve">the option to apportion GST input tax credits on an annual basis for acquisitions and importations that are partly creditable. </w:t>
            </w:r>
          </w:p>
          <w:p w14:paraId="6A5C981F" w14:textId="77777777" w:rsidR="00496C51" w:rsidRPr="004246FE" w:rsidRDefault="00496C51" w:rsidP="00296283">
            <w:pPr>
              <w:pStyle w:val="TableTextLeft"/>
              <w:rPr>
                <w:b/>
                <w:bCs/>
                <w:color w:val="44546A" w:themeColor="text2"/>
              </w:rPr>
            </w:pPr>
            <w:r w:rsidRPr="004246FE">
              <w:t>In addition, businesses (other than providers of taxi or limousine services) do not have to register for GST if their turnover is less than $75,000.</w:t>
            </w:r>
          </w:p>
        </w:tc>
      </w:tr>
      <w:tr w:rsidR="00496C51" w:rsidRPr="006F14B4" w14:paraId="6A5C9823" w14:textId="77777777" w:rsidTr="004246FE">
        <w:tc>
          <w:tcPr>
            <w:tcW w:w="2660" w:type="dxa"/>
            <w:tcBorders>
              <w:top w:val="single" w:sz="6" w:space="0" w:color="C00000"/>
              <w:bottom w:val="single" w:sz="6" w:space="0" w:color="C00000"/>
            </w:tcBorders>
            <w:shd w:val="clear" w:color="auto" w:fill="FFFFFF" w:themeFill="background1"/>
          </w:tcPr>
          <w:p w14:paraId="6A5C9821" w14:textId="77777777" w:rsidR="00496C51" w:rsidRDefault="00496C51">
            <w:pPr>
              <w:pStyle w:val="TableColumnHeadingLeft"/>
            </w:pPr>
            <w:r>
              <w:t>Small business superannuation clearing house</w:t>
            </w:r>
          </w:p>
        </w:tc>
        <w:tc>
          <w:tcPr>
            <w:tcW w:w="7194" w:type="dxa"/>
            <w:tcBorders>
              <w:top w:val="single" w:sz="6" w:space="0" w:color="C00000"/>
              <w:bottom w:val="single" w:sz="6" w:space="0" w:color="C00000"/>
            </w:tcBorders>
            <w:shd w:val="clear" w:color="auto" w:fill="FFFFFF" w:themeFill="background1"/>
          </w:tcPr>
          <w:p w14:paraId="6A5C9822" w14:textId="77777777" w:rsidR="00496C51" w:rsidRPr="00722430" w:rsidRDefault="00496C51">
            <w:pPr>
              <w:pStyle w:val="TableTextLeft"/>
            </w:pPr>
            <w:r>
              <w:t xml:space="preserve">A free superannuation clearing house service is available to businesses with aggregated turnover of less than $10m or where the business has 19 or fewer employees. </w:t>
            </w:r>
          </w:p>
        </w:tc>
      </w:tr>
      <w:tr w:rsidR="00496C51" w:rsidRPr="006F14B4" w14:paraId="6A5C9826" w14:textId="77777777" w:rsidTr="004246FE">
        <w:tc>
          <w:tcPr>
            <w:tcW w:w="2660" w:type="dxa"/>
            <w:tcBorders>
              <w:top w:val="single" w:sz="6" w:space="0" w:color="C00000"/>
              <w:bottom w:val="single" w:sz="6" w:space="0" w:color="C00000"/>
            </w:tcBorders>
            <w:shd w:val="clear" w:color="auto" w:fill="FFFFFF" w:themeFill="background1"/>
          </w:tcPr>
          <w:p w14:paraId="6A5C9824" w14:textId="77777777" w:rsidR="00496C51" w:rsidRDefault="00496C51">
            <w:pPr>
              <w:pStyle w:val="TableColumnHeadingLeft"/>
            </w:pPr>
            <w:r>
              <w:t>Small business excise concession</w:t>
            </w:r>
          </w:p>
        </w:tc>
        <w:tc>
          <w:tcPr>
            <w:tcW w:w="7194" w:type="dxa"/>
            <w:tcBorders>
              <w:top w:val="single" w:sz="6" w:space="0" w:color="C00000"/>
              <w:bottom w:val="single" w:sz="6" w:space="0" w:color="C00000"/>
            </w:tcBorders>
            <w:shd w:val="clear" w:color="auto" w:fill="FFFFFF" w:themeFill="background1"/>
          </w:tcPr>
          <w:p w14:paraId="6A5C9825" w14:textId="77777777" w:rsidR="00496C51" w:rsidRDefault="00496C51">
            <w:pPr>
              <w:pStyle w:val="TableTextLeft"/>
            </w:pPr>
            <w:r>
              <w:t xml:space="preserve">Eligible businesses can apply to defer settlement of excise duty and excise equivalent customs duty from a weekly to monthly reporting cycle. </w:t>
            </w:r>
          </w:p>
        </w:tc>
      </w:tr>
    </w:tbl>
    <w:p w14:paraId="7D747E63" w14:textId="29BDC597" w:rsidR="00BD19CC" w:rsidRDefault="00FE5D9E" w:rsidP="002651E8">
      <w:pPr>
        <w:spacing w:before="480"/>
        <w:rPr>
          <w:rFonts w:asciiTheme="minorHAnsi" w:hAnsiTheme="minorHAnsi" w:cstheme="minorHAnsi"/>
          <w:szCs w:val="22"/>
        </w:rPr>
      </w:pPr>
      <w:r w:rsidRPr="00296283">
        <w:rPr>
          <w:rFonts w:asciiTheme="minorHAnsi" w:hAnsiTheme="minorHAnsi" w:cstheme="minorHAnsi"/>
          <w:szCs w:val="22"/>
        </w:rPr>
        <w:t>In addition to the concessions listed above, the tax system</w:t>
      </w:r>
      <w:r w:rsidR="00433ABA" w:rsidRPr="00296283">
        <w:rPr>
          <w:rFonts w:asciiTheme="minorHAnsi" w:hAnsiTheme="minorHAnsi" w:cstheme="minorHAnsi"/>
          <w:szCs w:val="22"/>
        </w:rPr>
        <w:t xml:space="preserve"> also delivers favourable outcomes to the small business sector </w:t>
      </w:r>
      <w:r w:rsidR="003C2116">
        <w:rPr>
          <w:rFonts w:asciiTheme="minorHAnsi" w:hAnsiTheme="minorHAnsi" w:cstheme="minorHAnsi"/>
          <w:szCs w:val="22"/>
        </w:rPr>
        <w:t>by making it easier to attract investors</w:t>
      </w:r>
      <w:r w:rsidR="00433ABA" w:rsidRPr="00296283">
        <w:rPr>
          <w:rFonts w:asciiTheme="minorHAnsi" w:hAnsiTheme="minorHAnsi" w:cstheme="minorHAnsi"/>
          <w:szCs w:val="22"/>
        </w:rPr>
        <w:t>. For example, investors in ‘early-stage’ innovation companies are granted a tax offset of 20% of the investment up to $200,000 and entitled to a CGT exemption where the shares are held for more than 12 months.</w:t>
      </w:r>
    </w:p>
    <w:p w14:paraId="6A5C9827" w14:textId="321D511E" w:rsidR="003C2116" w:rsidRDefault="006D5AF7" w:rsidP="00296283">
      <w:pPr>
        <w:rPr>
          <w:rFonts w:asciiTheme="minorHAnsi" w:hAnsiTheme="minorHAnsi" w:cstheme="minorHAnsi"/>
          <w:szCs w:val="22"/>
        </w:rPr>
      </w:pPr>
      <w:r>
        <w:rPr>
          <w:rFonts w:asciiTheme="minorHAnsi" w:hAnsiTheme="minorHAnsi" w:cstheme="minorHAnsi"/>
          <w:szCs w:val="22"/>
        </w:rPr>
        <w:lastRenderedPageBreak/>
        <w:t xml:space="preserve">Furthermore, </w:t>
      </w:r>
      <w:r w:rsidR="009550B1">
        <w:rPr>
          <w:rFonts w:asciiTheme="minorHAnsi" w:hAnsiTheme="minorHAnsi" w:cstheme="minorHAnsi"/>
          <w:szCs w:val="22"/>
        </w:rPr>
        <w:t xml:space="preserve">to incentivise employees of </w:t>
      </w:r>
      <w:r w:rsidR="00EC299C">
        <w:rPr>
          <w:rFonts w:asciiTheme="minorHAnsi" w:hAnsiTheme="minorHAnsi" w:cstheme="minorHAnsi"/>
          <w:szCs w:val="22"/>
        </w:rPr>
        <w:t xml:space="preserve">start-up companies, </w:t>
      </w:r>
      <w:r w:rsidR="000371FA">
        <w:rPr>
          <w:rFonts w:asciiTheme="minorHAnsi" w:hAnsiTheme="minorHAnsi" w:cstheme="minorHAnsi"/>
          <w:szCs w:val="22"/>
        </w:rPr>
        <w:t xml:space="preserve">concessional tax treatment is afforded to </w:t>
      </w:r>
      <w:r w:rsidR="00FF16FF">
        <w:rPr>
          <w:rFonts w:asciiTheme="minorHAnsi" w:hAnsiTheme="minorHAnsi" w:cstheme="minorHAnsi"/>
          <w:szCs w:val="22"/>
        </w:rPr>
        <w:t>shares provided</w:t>
      </w:r>
      <w:r w:rsidR="00365E2D">
        <w:rPr>
          <w:rFonts w:asciiTheme="minorHAnsi" w:hAnsiTheme="minorHAnsi" w:cstheme="minorHAnsi"/>
          <w:szCs w:val="22"/>
        </w:rPr>
        <w:t xml:space="preserve"> under an</w:t>
      </w:r>
      <w:r w:rsidR="00FF16FF">
        <w:rPr>
          <w:rFonts w:asciiTheme="minorHAnsi" w:hAnsiTheme="minorHAnsi" w:cstheme="minorHAnsi"/>
          <w:szCs w:val="22"/>
        </w:rPr>
        <w:t xml:space="preserve"> </w:t>
      </w:r>
      <w:r w:rsidR="00365E2D">
        <w:rPr>
          <w:rFonts w:asciiTheme="minorHAnsi" w:hAnsiTheme="minorHAnsi" w:cstheme="minorHAnsi"/>
          <w:szCs w:val="22"/>
        </w:rPr>
        <w:t>‘</w:t>
      </w:r>
      <w:r w:rsidR="005C0689">
        <w:rPr>
          <w:rFonts w:asciiTheme="minorHAnsi" w:hAnsiTheme="minorHAnsi" w:cstheme="minorHAnsi"/>
          <w:szCs w:val="22"/>
        </w:rPr>
        <w:t>e</w:t>
      </w:r>
      <w:r w:rsidR="00365E2D">
        <w:rPr>
          <w:rFonts w:asciiTheme="minorHAnsi" w:hAnsiTheme="minorHAnsi" w:cstheme="minorHAnsi"/>
          <w:szCs w:val="22"/>
        </w:rPr>
        <w:t xml:space="preserve">mployee </w:t>
      </w:r>
      <w:r w:rsidR="005C0689">
        <w:rPr>
          <w:rFonts w:asciiTheme="minorHAnsi" w:hAnsiTheme="minorHAnsi" w:cstheme="minorHAnsi"/>
          <w:szCs w:val="22"/>
        </w:rPr>
        <w:t>s</w:t>
      </w:r>
      <w:r w:rsidR="00365E2D">
        <w:rPr>
          <w:rFonts w:asciiTheme="minorHAnsi" w:hAnsiTheme="minorHAnsi" w:cstheme="minorHAnsi"/>
          <w:szCs w:val="22"/>
        </w:rPr>
        <w:t xml:space="preserve">hare </w:t>
      </w:r>
      <w:r w:rsidR="005C0689">
        <w:rPr>
          <w:rFonts w:asciiTheme="minorHAnsi" w:hAnsiTheme="minorHAnsi" w:cstheme="minorHAnsi"/>
          <w:szCs w:val="22"/>
        </w:rPr>
        <w:t>s</w:t>
      </w:r>
      <w:r w:rsidR="00365E2D">
        <w:rPr>
          <w:rFonts w:asciiTheme="minorHAnsi" w:hAnsiTheme="minorHAnsi" w:cstheme="minorHAnsi"/>
          <w:szCs w:val="22"/>
        </w:rPr>
        <w:t xml:space="preserve">cheme’ </w:t>
      </w:r>
      <w:r w:rsidR="00FF16FF">
        <w:rPr>
          <w:rFonts w:asciiTheme="minorHAnsi" w:hAnsiTheme="minorHAnsi" w:cstheme="minorHAnsi"/>
          <w:szCs w:val="22"/>
        </w:rPr>
        <w:t>to an employee of a</w:t>
      </w:r>
      <w:r w:rsidR="00365E2D">
        <w:rPr>
          <w:rFonts w:asciiTheme="minorHAnsi" w:hAnsiTheme="minorHAnsi" w:cstheme="minorHAnsi"/>
          <w:szCs w:val="22"/>
        </w:rPr>
        <w:t>n unlisted</w:t>
      </w:r>
      <w:r w:rsidR="00FF16FF">
        <w:rPr>
          <w:rFonts w:asciiTheme="minorHAnsi" w:hAnsiTheme="minorHAnsi" w:cstheme="minorHAnsi"/>
          <w:szCs w:val="22"/>
        </w:rPr>
        <w:t xml:space="preserve"> start-up company</w:t>
      </w:r>
      <w:r w:rsidR="00365E2D">
        <w:rPr>
          <w:rFonts w:asciiTheme="minorHAnsi" w:hAnsiTheme="minorHAnsi" w:cstheme="minorHAnsi"/>
          <w:szCs w:val="22"/>
        </w:rPr>
        <w:t xml:space="preserve"> with a turnover </w:t>
      </w:r>
      <w:r w:rsidR="005C0689">
        <w:rPr>
          <w:rFonts w:asciiTheme="minorHAnsi" w:hAnsiTheme="minorHAnsi" w:cstheme="minorHAnsi"/>
          <w:szCs w:val="22"/>
        </w:rPr>
        <w:t xml:space="preserve">of </w:t>
      </w:r>
      <w:r w:rsidR="00365E2D">
        <w:rPr>
          <w:rFonts w:asciiTheme="minorHAnsi" w:hAnsiTheme="minorHAnsi" w:cstheme="minorHAnsi"/>
          <w:szCs w:val="22"/>
        </w:rPr>
        <w:t xml:space="preserve">less than $50m. </w:t>
      </w:r>
      <w:r w:rsidR="00FF16FF">
        <w:rPr>
          <w:rFonts w:asciiTheme="minorHAnsi" w:hAnsiTheme="minorHAnsi" w:cstheme="minorHAnsi"/>
          <w:szCs w:val="22"/>
        </w:rPr>
        <w:t xml:space="preserve">This </w:t>
      </w:r>
      <w:r w:rsidR="00CF1F48">
        <w:rPr>
          <w:rFonts w:asciiTheme="minorHAnsi" w:hAnsiTheme="minorHAnsi" w:cstheme="minorHAnsi"/>
          <w:szCs w:val="22"/>
        </w:rPr>
        <w:t>enables employees to share in, and benefit from, the future growth of the business and allows small business owners to invest more of the company’s cash in growing the business.</w:t>
      </w:r>
    </w:p>
    <w:p w14:paraId="6A5C9829" w14:textId="5458B798" w:rsidR="00FE5D9E" w:rsidRPr="00296283" w:rsidRDefault="008F3163" w:rsidP="00140822">
      <w:pPr>
        <w:rPr>
          <w:rFonts w:asciiTheme="minorHAnsi" w:hAnsiTheme="minorHAnsi" w:cstheme="minorHAnsi"/>
          <w:szCs w:val="22"/>
        </w:rPr>
      </w:pPr>
      <w:r>
        <w:rPr>
          <w:rFonts w:asciiTheme="minorHAnsi" w:hAnsiTheme="minorHAnsi" w:cstheme="minorHAnsi"/>
          <w:szCs w:val="22"/>
        </w:rPr>
        <w:t>There are also t</w:t>
      </w:r>
      <w:r w:rsidR="00433ABA" w:rsidRPr="00296283">
        <w:rPr>
          <w:rFonts w:asciiTheme="minorHAnsi" w:hAnsiTheme="minorHAnsi" w:cstheme="minorHAnsi"/>
          <w:szCs w:val="22"/>
        </w:rPr>
        <w:t>hresholds through</w:t>
      </w:r>
      <w:r w:rsidR="00041F22" w:rsidRPr="00296283">
        <w:rPr>
          <w:rFonts w:asciiTheme="minorHAnsi" w:hAnsiTheme="minorHAnsi" w:cstheme="minorHAnsi"/>
          <w:szCs w:val="22"/>
        </w:rPr>
        <w:t>out</w:t>
      </w:r>
      <w:r w:rsidR="00433ABA" w:rsidRPr="00296283">
        <w:rPr>
          <w:rFonts w:asciiTheme="minorHAnsi" w:hAnsiTheme="minorHAnsi" w:cstheme="minorHAnsi"/>
          <w:szCs w:val="22"/>
        </w:rPr>
        <w:t xml:space="preserve"> the tax system</w:t>
      </w:r>
      <w:r w:rsidR="009466B5">
        <w:rPr>
          <w:rFonts w:asciiTheme="minorHAnsi" w:hAnsiTheme="minorHAnsi" w:cstheme="minorHAnsi"/>
          <w:szCs w:val="22"/>
        </w:rPr>
        <w:t xml:space="preserve"> which, while broadly available, </w:t>
      </w:r>
      <w:r w:rsidR="00041F22" w:rsidRPr="00296283">
        <w:rPr>
          <w:rFonts w:asciiTheme="minorHAnsi" w:hAnsiTheme="minorHAnsi" w:cstheme="minorHAnsi"/>
          <w:szCs w:val="22"/>
        </w:rPr>
        <w:t>are</w:t>
      </w:r>
      <w:r>
        <w:rPr>
          <w:rFonts w:asciiTheme="minorHAnsi" w:hAnsiTheme="minorHAnsi" w:cstheme="minorHAnsi"/>
          <w:szCs w:val="22"/>
        </w:rPr>
        <w:t xml:space="preserve"> particularly beneficial for small businesses. </w:t>
      </w:r>
      <w:r w:rsidR="003C2116">
        <w:rPr>
          <w:rFonts w:asciiTheme="minorHAnsi" w:hAnsiTheme="minorHAnsi" w:cstheme="minorHAnsi"/>
          <w:szCs w:val="22"/>
        </w:rPr>
        <w:t xml:space="preserve">For example, entities whose total debt deductions </w:t>
      </w:r>
      <w:r w:rsidR="003C2116" w:rsidRPr="003C2116">
        <w:rPr>
          <w:rFonts w:asciiTheme="minorHAnsi" w:hAnsiTheme="minorHAnsi" w:cstheme="minorHAnsi"/>
          <w:szCs w:val="22"/>
        </w:rPr>
        <w:t>are less than the de-</w:t>
      </w:r>
      <w:r w:rsidR="00140822" w:rsidRPr="003C2116">
        <w:rPr>
          <w:rFonts w:asciiTheme="minorHAnsi" w:hAnsiTheme="minorHAnsi" w:cstheme="minorHAnsi"/>
          <w:szCs w:val="22"/>
        </w:rPr>
        <w:t>minimise</w:t>
      </w:r>
      <w:r w:rsidR="003C2116" w:rsidRPr="003C2116">
        <w:rPr>
          <w:rFonts w:asciiTheme="minorHAnsi" w:hAnsiTheme="minorHAnsi" w:cstheme="minorHAnsi"/>
          <w:szCs w:val="22"/>
        </w:rPr>
        <w:t xml:space="preserve"> threshold of $2 million for the income year</w:t>
      </w:r>
      <w:r w:rsidR="003C2116">
        <w:rPr>
          <w:rFonts w:asciiTheme="minorHAnsi" w:hAnsiTheme="minorHAnsi" w:cstheme="minorHAnsi"/>
          <w:szCs w:val="22"/>
        </w:rPr>
        <w:t xml:space="preserve"> are not affected by</w:t>
      </w:r>
      <w:r w:rsidR="00140822">
        <w:rPr>
          <w:rFonts w:asciiTheme="minorHAnsi" w:hAnsiTheme="minorHAnsi" w:cstheme="minorHAnsi"/>
          <w:szCs w:val="22"/>
        </w:rPr>
        <w:t xml:space="preserve"> the thin capitalisation rules.</w:t>
      </w:r>
      <w:r w:rsidR="00FE5D9E" w:rsidRPr="00296283">
        <w:rPr>
          <w:rFonts w:asciiTheme="minorHAnsi" w:hAnsiTheme="minorHAnsi" w:cstheme="minorHAnsi"/>
          <w:szCs w:val="22"/>
        </w:rPr>
        <w:br w:type="page"/>
      </w:r>
    </w:p>
    <w:p w14:paraId="6A5C982A" w14:textId="77777777" w:rsidR="009E171B" w:rsidRDefault="00043A4B" w:rsidP="00043A4B">
      <w:pPr>
        <w:pStyle w:val="Heading1"/>
      </w:pPr>
      <w:bookmarkStart w:id="8" w:name="_Toc510006854"/>
      <w:r w:rsidRPr="00043A4B">
        <w:lastRenderedPageBreak/>
        <w:t>Principles for reform</w:t>
      </w:r>
      <w:bookmarkEnd w:id="8"/>
    </w:p>
    <w:p w14:paraId="6A5C982B" w14:textId="1E0CC745" w:rsidR="001207A8" w:rsidRPr="00296283" w:rsidRDefault="001207A8" w:rsidP="001207A8">
      <w:pPr>
        <w:rPr>
          <w:color w:val="002060"/>
          <w:sz w:val="28"/>
          <w:szCs w:val="28"/>
        </w:rPr>
      </w:pPr>
      <w:r w:rsidRPr="00296283">
        <w:rPr>
          <w:color w:val="002060"/>
          <w:sz w:val="28"/>
          <w:szCs w:val="28"/>
        </w:rPr>
        <w:t xml:space="preserve">Designing a tax system for the small business sector presents substantial challenges in striking a balance between </w:t>
      </w:r>
      <w:r w:rsidR="00E657B7">
        <w:rPr>
          <w:color w:val="002060"/>
          <w:sz w:val="28"/>
          <w:szCs w:val="28"/>
        </w:rPr>
        <w:t xml:space="preserve">the </w:t>
      </w:r>
      <w:r w:rsidRPr="00296283">
        <w:rPr>
          <w:color w:val="002060"/>
          <w:sz w:val="28"/>
          <w:szCs w:val="28"/>
        </w:rPr>
        <w:t>broad and</w:t>
      </w:r>
      <w:r>
        <w:rPr>
          <w:color w:val="002060"/>
          <w:sz w:val="28"/>
          <w:szCs w:val="28"/>
        </w:rPr>
        <w:t>,</w:t>
      </w:r>
      <w:r w:rsidRPr="00296283">
        <w:rPr>
          <w:color w:val="002060"/>
          <w:sz w:val="28"/>
          <w:szCs w:val="28"/>
        </w:rPr>
        <w:t xml:space="preserve"> at times, competing objectives of simplicity, fairness and efficiency.</w:t>
      </w:r>
      <w:r w:rsidR="001C6987">
        <w:rPr>
          <w:color w:val="002060"/>
          <w:sz w:val="28"/>
          <w:szCs w:val="28"/>
        </w:rPr>
        <w:t xml:space="preserve"> </w:t>
      </w:r>
      <w:r w:rsidR="00F56972">
        <w:rPr>
          <w:color w:val="002060"/>
          <w:sz w:val="28"/>
          <w:szCs w:val="28"/>
        </w:rPr>
        <w:t xml:space="preserve">Ideally, Australia’s small business tax policy would reflect a holistic approach, such that the range of small business policies developed are </w:t>
      </w:r>
      <w:r w:rsidR="0016777E">
        <w:rPr>
          <w:color w:val="002060"/>
          <w:sz w:val="28"/>
          <w:szCs w:val="28"/>
        </w:rPr>
        <w:t xml:space="preserve">viewed as </w:t>
      </w:r>
      <w:r w:rsidR="00DB07A4">
        <w:rPr>
          <w:color w:val="002060"/>
          <w:sz w:val="28"/>
          <w:szCs w:val="28"/>
        </w:rPr>
        <w:t xml:space="preserve">being </w:t>
      </w:r>
      <w:r w:rsidR="00F56972">
        <w:rPr>
          <w:color w:val="002060"/>
          <w:sz w:val="28"/>
          <w:szCs w:val="28"/>
        </w:rPr>
        <w:t xml:space="preserve">interdependent. </w:t>
      </w:r>
      <w:r w:rsidR="005A2C97">
        <w:rPr>
          <w:color w:val="002060"/>
          <w:sz w:val="28"/>
          <w:szCs w:val="28"/>
        </w:rPr>
        <w:t xml:space="preserve">This would create an overall public policy support system in favour of small business, of which tax </w:t>
      </w:r>
      <w:r w:rsidR="00D16A7C">
        <w:rPr>
          <w:color w:val="002060"/>
          <w:sz w:val="28"/>
          <w:szCs w:val="28"/>
        </w:rPr>
        <w:t>i</w:t>
      </w:r>
      <w:r w:rsidR="00140822">
        <w:rPr>
          <w:color w:val="002060"/>
          <w:sz w:val="28"/>
          <w:szCs w:val="28"/>
        </w:rPr>
        <w:t>s one of the vital components.</w:t>
      </w:r>
    </w:p>
    <w:p w14:paraId="6A5C982C" w14:textId="2A90DE33" w:rsidR="001207A8" w:rsidRPr="001644C1" w:rsidRDefault="001207A8" w:rsidP="001207A8">
      <w:pPr>
        <w:rPr>
          <w:szCs w:val="22"/>
        </w:rPr>
      </w:pPr>
      <w:r w:rsidRPr="001644C1">
        <w:rPr>
          <w:szCs w:val="22"/>
        </w:rPr>
        <w:t xml:space="preserve">Ultimately, the </w:t>
      </w:r>
      <w:r w:rsidR="00E657B7" w:rsidRPr="001644C1">
        <w:rPr>
          <w:szCs w:val="22"/>
        </w:rPr>
        <w:t xml:space="preserve">aim is to strive for a </w:t>
      </w:r>
      <w:r w:rsidRPr="001644C1">
        <w:rPr>
          <w:szCs w:val="22"/>
        </w:rPr>
        <w:t>tax system that best allows business owners to get on with doing business. This means that the tax system should be responsive to the unique challenges faced by small businesses, taking into account their needs and requirements. However, it also means assistance to small business should, as far as possible, avoid the creation of distortions or complexities in the tax system, so that that business decisions are motivated by commercial, rather than tax, considerations. Judgments need to be made in weighing up</w:t>
      </w:r>
      <w:r w:rsidR="00140822">
        <w:rPr>
          <w:szCs w:val="22"/>
        </w:rPr>
        <w:t xml:space="preserve"> these competing priorities.</w:t>
      </w:r>
    </w:p>
    <w:p w14:paraId="6FFC5F02" w14:textId="5094CF9C" w:rsidR="001644C1" w:rsidRDefault="001207A8" w:rsidP="00296283">
      <w:pPr>
        <w:pStyle w:val="Introductionparagraph"/>
        <w:rPr>
          <w:color w:val="auto"/>
          <w:szCs w:val="28"/>
        </w:rPr>
      </w:pPr>
      <w:r w:rsidRPr="001644C1">
        <w:rPr>
          <w:color w:val="auto"/>
          <w:sz w:val="22"/>
          <w:szCs w:val="22"/>
        </w:rPr>
        <w:t xml:space="preserve">To assist in making such judgments, the Board, </w:t>
      </w:r>
      <w:r w:rsidR="005629C7" w:rsidRPr="001644C1">
        <w:rPr>
          <w:color w:val="auto"/>
          <w:sz w:val="22"/>
          <w:szCs w:val="22"/>
        </w:rPr>
        <w:t>together</w:t>
      </w:r>
      <w:r w:rsidRPr="001644C1">
        <w:rPr>
          <w:color w:val="auto"/>
          <w:sz w:val="22"/>
          <w:szCs w:val="22"/>
        </w:rPr>
        <w:t xml:space="preserve"> with the Reference Group, has developed a set of principles to evaluate the current </w:t>
      </w:r>
      <w:r w:rsidR="0033165F" w:rsidRPr="001644C1">
        <w:rPr>
          <w:color w:val="auto"/>
          <w:sz w:val="22"/>
          <w:szCs w:val="22"/>
        </w:rPr>
        <w:t xml:space="preserve">and future </w:t>
      </w:r>
      <w:r w:rsidRPr="001644C1">
        <w:rPr>
          <w:color w:val="auto"/>
          <w:sz w:val="22"/>
          <w:szCs w:val="22"/>
        </w:rPr>
        <w:t>suite of tax concessions for small business and to identify opportunities for improvement.</w:t>
      </w:r>
    </w:p>
    <w:p w14:paraId="6A5C982E" w14:textId="34F113FB" w:rsidR="000D03AD" w:rsidRPr="000D03AD" w:rsidRDefault="007A0B5E" w:rsidP="00296283">
      <w:pPr>
        <w:pStyle w:val="Introductionparagraph"/>
      </w:pPr>
      <w:r w:rsidRPr="00BE3B72">
        <w:rPr>
          <w:noProof/>
        </w:rPr>
        <mc:AlternateContent>
          <mc:Choice Requires="wps">
            <w:drawing>
              <wp:inline distT="0" distB="0" distL="0" distR="0" wp14:anchorId="6A5C989A" wp14:editId="1ADEAE49">
                <wp:extent cx="6087600" cy="2952750"/>
                <wp:effectExtent l="95250" t="95250" r="104140" b="95250"/>
                <wp:docPr id="67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87600" cy="2952750"/>
                        </a:xfrm>
                        <a:prstGeom prst="rect">
                          <a:avLst/>
                        </a:prstGeom>
                        <a:solidFill>
                          <a:schemeClr val="bg1"/>
                        </a:solidFill>
                        <a:ln w="19050">
                          <a:noFill/>
                          <a:miter lim="800000"/>
                          <a:headEnd/>
                          <a:tailEnd/>
                        </a:ln>
                        <a:effectLst>
                          <a:outerShdw blurRad="63500" sx="101000" sy="101000" algn="ctr" rotWithShape="0">
                            <a:prstClr val="black">
                              <a:alpha val="40000"/>
                            </a:prstClr>
                          </a:outerShdw>
                        </a:effectLst>
                      </wps:spPr>
                      <wps:txbx>
                        <w:txbxContent>
                          <w:p w14:paraId="6A5C98C8" w14:textId="22B95B96" w:rsidR="00F711DF" w:rsidRPr="00D06DC4" w:rsidRDefault="00F711DF" w:rsidP="00081CC1">
                            <w:pPr>
                              <w:pStyle w:val="ListParagraph"/>
                              <w:numPr>
                                <w:ilvl w:val="0"/>
                                <w:numId w:val="25"/>
                              </w:numPr>
                              <w:spacing w:after="240"/>
                              <w:ind w:left="714" w:hanging="357"/>
                              <w:rPr>
                                <w:b/>
                                <w:color w:val="002060"/>
                                <w:sz w:val="32"/>
                                <w:szCs w:val="24"/>
                              </w:rPr>
                            </w:pPr>
                            <w:r w:rsidRPr="00D06DC4">
                              <w:rPr>
                                <w:b/>
                                <w:color w:val="002060"/>
                                <w:sz w:val="28"/>
                              </w:rPr>
                              <w:t>Concessions should be designed having regard to the small business life cycle</w:t>
                            </w:r>
                            <w:r>
                              <w:rPr>
                                <w:b/>
                                <w:color w:val="002060"/>
                                <w:sz w:val="28"/>
                              </w:rPr>
                              <w:t xml:space="preserve"> </w:t>
                            </w:r>
                          </w:p>
                          <w:p w14:paraId="6A5C98C9" w14:textId="6E0FE3E9" w:rsidR="00F711DF" w:rsidRDefault="00F711DF" w:rsidP="00081CC1">
                            <w:pPr>
                              <w:pStyle w:val="ListParagraph"/>
                              <w:rPr>
                                <w:sz w:val="24"/>
                                <w:szCs w:val="24"/>
                              </w:rPr>
                            </w:pPr>
                            <w:r w:rsidRPr="00D06DC4">
                              <w:rPr>
                                <w:sz w:val="24"/>
                                <w:szCs w:val="24"/>
                              </w:rPr>
                              <w:t xml:space="preserve">Small businesses typically move through successive stages from inception or start-up, through a period of growth to maturity, and ultimately to an exit stage when the proprietors </w:t>
                            </w:r>
                            <w:r>
                              <w:rPr>
                                <w:sz w:val="24"/>
                                <w:szCs w:val="24"/>
                              </w:rPr>
                              <w:t xml:space="preserve">will either </w:t>
                            </w:r>
                            <w:r w:rsidRPr="00D06DC4">
                              <w:rPr>
                                <w:sz w:val="24"/>
                                <w:szCs w:val="24"/>
                              </w:rPr>
                              <w:t>sell or wind up. A business will value different</w:t>
                            </w:r>
                            <w:r>
                              <w:rPr>
                                <w:sz w:val="24"/>
                                <w:szCs w:val="24"/>
                              </w:rPr>
                              <w:t xml:space="preserve">ly the various </w:t>
                            </w:r>
                            <w:r w:rsidRPr="00D06DC4">
                              <w:rPr>
                                <w:sz w:val="24"/>
                                <w:szCs w:val="24"/>
                              </w:rPr>
                              <w:t>forms of tax relief</w:t>
                            </w:r>
                            <w:r>
                              <w:rPr>
                                <w:sz w:val="24"/>
                                <w:szCs w:val="24"/>
                              </w:rPr>
                              <w:t xml:space="preserve"> available to it,</w:t>
                            </w:r>
                            <w:r w:rsidRPr="00D06DC4">
                              <w:rPr>
                                <w:sz w:val="24"/>
                                <w:szCs w:val="24"/>
                              </w:rPr>
                              <w:t xml:space="preserve"> </w:t>
                            </w:r>
                            <w:r>
                              <w:rPr>
                                <w:sz w:val="24"/>
                                <w:szCs w:val="24"/>
                              </w:rPr>
                              <w:t xml:space="preserve">depending </w:t>
                            </w:r>
                            <w:r w:rsidRPr="00D06DC4">
                              <w:rPr>
                                <w:sz w:val="24"/>
                                <w:szCs w:val="24"/>
                              </w:rPr>
                              <w:t xml:space="preserve">on the stage </w:t>
                            </w:r>
                            <w:r>
                              <w:rPr>
                                <w:sz w:val="24"/>
                                <w:szCs w:val="24"/>
                              </w:rPr>
                              <w:t>it is at in terms of its business lifecycle</w:t>
                            </w:r>
                            <w:r w:rsidR="00140822">
                              <w:rPr>
                                <w:sz w:val="24"/>
                                <w:szCs w:val="24"/>
                              </w:rPr>
                              <w:t>.</w:t>
                            </w:r>
                          </w:p>
                          <w:p w14:paraId="6A5C98CA" w14:textId="77777777" w:rsidR="00F711DF" w:rsidRPr="00D06DC4" w:rsidRDefault="00F711DF" w:rsidP="00081CC1">
                            <w:pPr>
                              <w:pStyle w:val="ListParagraph"/>
                              <w:rPr>
                                <w:b/>
                                <w:sz w:val="24"/>
                                <w:szCs w:val="24"/>
                              </w:rPr>
                            </w:pPr>
                            <w:r w:rsidRPr="00D06DC4">
                              <w:rPr>
                                <w:sz w:val="24"/>
                                <w:szCs w:val="24"/>
                              </w:rPr>
                              <w:t xml:space="preserve">Accordingly, the business life cycle </w:t>
                            </w:r>
                            <w:r>
                              <w:rPr>
                                <w:sz w:val="24"/>
                                <w:szCs w:val="24"/>
                              </w:rPr>
                              <w:t xml:space="preserve">principle </w:t>
                            </w:r>
                            <w:r w:rsidRPr="00D06DC4">
                              <w:rPr>
                                <w:sz w:val="24"/>
                                <w:szCs w:val="24"/>
                              </w:rPr>
                              <w:t xml:space="preserve">provides a valuable benchmark for evaluating the current suite of concessions and for identifying opportunities for improvement.  Our aim is not to have a ‘one size fits all’ approach but to have a co-ordinated ‘package’ of concessions that provide meaningful assistance </w:t>
                            </w:r>
                            <w:r>
                              <w:rPr>
                                <w:sz w:val="24"/>
                                <w:szCs w:val="24"/>
                              </w:rPr>
                              <w:t>during</w:t>
                            </w:r>
                            <w:r w:rsidRPr="00D06DC4">
                              <w:rPr>
                                <w:sz w:val="24"/>
                                <w:szCs w:val="24"/>
                              </w:rPr>
                              <w:t xml:space="preserve"> the course of the </w:t>
                            </w:r>
                            <w:r>
                              <w:rPr>
                                <w:sz w:val="24"/>
                                <w:szCs w:val="24"/>
                              </w:rPr>
                              <w:t xml:space="preserve">small business’ </w:t>
                            </w:r>
                            <w:r w:rsidRPr="00D06DC4">
                              <w:rPr>
                                <w:sz w:val="24"/>
                                <w:szCs w:val="24"/>
                              </w:rPr>
                              <w:t>life cycle.</w:t>
                            </w:r>
                          </w:p>
                        </w:txbxContent>
                      </wps:txbx>
                      <wps:bodyPr rot="0" vert="horz" wrap="square" lIns="0" tIns="0" rIns="226800" bIns="0" anchor="ctr" anchorCtr="0">
                        <a:noAutofit/>
                      </wps:bodyPr>
                    </wps:wsp>
                  </a:graphicData>
                </a:graphic>
              </wp:inline>
            </w:drawing>
          </mc:Choice>
          <mc:Fallback>
            <w:pict>
              <v:rect id="Rectangle 396" o:spid="_x0000_s1026" style="width:479.35pt;height:23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" fillcolor="white [3212]" stroked="f" strokeweight="1.5pt">
                <v:shadow on="t" type="perspective" color="black" opacity="26214f" offset="0,0" matrix="66191f,,,66191f"/>
                <v:textbox inset="0,0,6.3mm,0">
                  <w:txbxContent>
                    <w:p w14:paraId="6A5C98C8" w14:textId="22B95B96" w:rsidR="00F711DF" w:rsidRPr="00D06DC4" w:rsidRDefault="00F711DF" w:rsidP="00081CC1">
                      <w:pPr>
                        <w:pStyle w:val="ListParagraph"/>
                        <w:numPr>
                          <w:ilvl w:val="0"/>
                          <w:numId w:val="25"/>
                        </w:numPr>
                        <w:spacing w:after="240"/>
                        <w:ind w:left="714" w:hanging="357"/>
                        <w:rPr>
                          <w:b/>
                          <w:color w:val="002060"/>
                          <w:sz w:val="32"/>
                          <w:szCs w:val="24"/>
                        </w:rPr>
                      </w:pPr>
                      <w:r w:rsidRPr="00D06DC4">
                        <w:rPr>
                          <w:b/>
                          <w:color w:val="002060"/>
                          <w:sz w:val="28"/>
                        </w:rPr>
                        <w:t>Concessions should be designed having regard to the small business life cycle</w:t>
                      </w:r>
                      <w:r>
                        <w:rPr>
                          <w:b/>
                          <w:color w:val="002060"/>
                          <w:sz w:val="28"/>
                        </w:rPr>
                        <w:t xml:space="preserve"> </w:t>
                      </w:r>
                    </w:p>
                    <w:p w14:paraId="6A5C98C9" w14:textId="6E0FE3E9" w:rsidR="00F711DF" w:rsidRDefault="00F711DF" w:rsidP="00081CC1">
                      <w:pPr>
                        <w:pStyle w:val="ListParagraph"/>
                        <w:rPr>
                          <w:sz w:val="24"/>
                          <w:szCs w:val="24"/>
                        </w:rPr>
                      </w:pPr>
                      <w:r w:rsidRPr="00D06DC4">
                        <w:rPr>
                          <w:sz w:val="24"/>
                          <w:szCs w:val="24"/>
                        </w:rPr>
                        <w:t xml:space="preserve">Small businesses typically move through successive stages from inception or start-up, through a period of growth to maturity, and ultimately to an exit stage when the proprietors </w:t>
                      </w:r>
                      <w:r>
                        <w:rPr>
                          <w:sz w:val="24"/>
                          <w:szCs w:val="24"/>
                        </w:rPr>
                        <w:t xml:space="preserve">will either </w:t>
                      </w:r>
                      <w:r w:rsidRPr="00D06DC4">
                        <w:rPr>
                          <w:sz w:val="24"/>
                          <w:szCs w:val="24"/>
                        </w:rPr>
                        <w:t>sell or wind up. A business will value different</w:t>
                      </w:r>
                      <w:r>
                        <w:rPr>
                          <w:sz w:val="24"/>
                          <w:szCs w:val="24"/>
                        </w:rPr>
                        <w:t xml:space="preserve">ly the various </w:t>
                      </w:r>
                      <w:r w:rsidRPr="00D06DC4">
                        <w:rPr>
                          <w:sz w:val="24"/>
                          <w:szCs w:val="24"/>
                        </w:rPr>
                        <w:t>forms of tax relief</w:t>
                      </w:r>
                      <w:r>
                        <w:rPr>
                          <w:sz w:val="24"/>
                          <w:szCs w:val="24"/>
                        </w:rPr>
                        <w:t xml:space="preserve"> available to it,</w:t>
                      </w:r>
                      <w:r w:rsidRPr="00D06DC4">
                        <w:rPr>
                          <w:sz w:val="24"/>
                          <w:szCs w:val="24"/>
                        </w:rPr>
                        <w:t xml:space="preserve"> </w:t>
                      </w:r>
                      <w:r>
                        <w:rPr>
                          <w:sz w:val="24"/>
                          <w:szCs w:val="24"/>
                        </w:rPr>
                        <w:t xml:space="preserve">depending </w:t>
                      </w:r>
                      <w:r w:rsidRPr="00D06DC4">
                        <w:rPr>
                          <w:sz w:val="24"/>
                          <w:szCs w:val="24"/>
                        </w:rPr>
                        <w:t xml:space="preserve">on the stage </w:t>
                      </w:r>
                      <w:r>
                        <w:rPr>
                          <w:sz w:val="24"/>
                          <w:szCs w:val="24"/>
                        </w:rPr>
                        <w:t>it is at in terms of its business lifecycle</w:t>
                      </w:r>
                      <w:r w:rsidR="00140822">
                        <w:rPr>
                          <w:sz w:val="24"/>
                          <w:szCs w:val="24"/>
                        </w:rPr>
                        <w:t>.</w:t>
                      </w:r>
                    </w:p>
                    <w:p w14:paraId="6A5C98CA" w14:textId="77777777" w:rsidR="00F711DF" w:rsidRPr="00D06DC4" w:rsidRDefault="00F711DF" w:rsidP="00081CC1">
                      <w:pPr>
                        <w:pStyle w:val="ListParagraph"/>
                        <w:rPr>
                          <w:b/>
                          <w:sz w:val="24"/>
                          <w:szCs w:val="24"/>
                        </w:rPr>
                      </w:pPr>
                      <w:r w:rsidRPr="00D06DC4">
                        <w:rPr>
                          <w:sz w:val="24"/>
                          <w:szCs w:val="24"/>
                        </w:rPr>
                        <w:t xml:space="preserve">Accordingly, the business life cycle </w:t>
                      </w:r>
                      <w:r>
                        <w:rPr>
                          <w:sz w:val="24"/>
                          <w:szCs w:val="24"/>
                        </w:rPr>
                        <w:t xml:space="preserve">principle </w:t>
                      </w:r>
                      <w:r w:rsidRPr="00D06DC4">
                        <w:rPr>
                          <w:sz w:val="24"/>
                          <w:szCs w:val="24"/>
                        </w:rPr>
                        <w:t xml:space="preserve">provides a valuable benchmark for evaluating the current suite of concessions and for identifying opportunities for improvement.  Our aim is not to have a ‘one size fits all’ approach but to have a co-ordinated ‘package’ of concessions that provide meaningful assistance </w:t>
                      </w:r>
                      <w:r>
                        <w:rPr>
                          <w:sz w:val="24"/>
                          <w:szCs w:val="24"/>
                        </w:rPr>
                        <w:t>during</w:t>
                      </w:r>
                      <w:r w:rsidRPr="00D06DC4">
                        <w:rPr>
                          <w:sz w:val="24"/>
                          <w:szCs w:val="24"/>
                        </w:rPr>
                        <w:t xml:space="preserve"> the course of the </w:t>
                      </w:r>
                      <w:r>
                        <w:rPr>
                          <w:sz w:val="24"/>
                          <w:szCs w:val="24"/>
                        </w:rPr>
                        <w:t xml:space="preserve">small business’ </w:t>
                      </w:r>
                      <w:r w:rsidRPr="00D06DC4">
                        <w:rPr>
                          <w:sz w:val="24"/>
                          <w:szCs w:val="24"/>
                        </w:rPr>
                        <w:t>life cycle.</w:t>
                      </w:r>
                    </w:p>
                  </w:txbxContent>
                </v:textbox>
                <w10:anchorlock/>
              </v:rect>
            </w:pict>
          </mc:Fallback>
        </mc:AlternateContent>
      </w:r>
    </w:p>
    <w:p w14:paraId="6A5C982F" w14:textId="77777777" w:rsidR="00AA56D0" w:rsidRDefault="00C73547" w:rsidP="000D03AD">
      <w:pPr>
        <w:rPr>
          <w:b/>
          <w:bCs/>
        </w:rPr>
      </w:pPr>
      <w:r w:rsidRPr="00BE3B72">
        <w:rPr>
          <w:b/>
          <w:bCs/>
          <w:noProof/>
          <w:sz w:val="28"/>
        </w:rPr>
        <w:lastRenderedPageBreak/>
        <mc:AlternateContent>
          <mc:Choice Requires="wps">
            <w:drawing>
              <wp:inline distT="0" distB="0" distL="0" distR="0" wp14:anchorId="6A5C989C" wp14:editId="69F64F0E">
                <wp:extent cx="6087600" cy="4048125"/>
                <wp:effectExtent l="95250" t="95250" r="104140" b="104775"/>
                <wp:docPr id="698" name="Rectangle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6087600" cy="4048125"/>
                        </a:xfrm>
                        <a:prstGeom prst="rect">
                          <a:avLst/>
                        </a:prstGeom>
                        <a:solidFill>
                          <a:schemeClr val="bg1"/>
                        </a:solidFill>
                        <a:ln w="19050">
                          <a:noFill/>
                          <a:miter lim="800000"/>
                          <a:headEnd/>
                          <a:tailEnd/>
                        </a:ln>
                        <a:effectLst>
                          <a:outerShdw blurRad="63500" sx="101000" sy="101000" algn="ctr" rotWithShape="0">
                            <a:prstClr val="black">
                              <a:alpha val="40000"/>
                            </a:prstClr>
                          </a:outerShdw>
                        </a:effectLst>
                      </wps:spPr>
                      <wps:txbx>
                        <w:txbxContent>
                          <w:p w14:paraId="6A5C98CB" w14:textId="77777777" w:rsidR="00F711DF" w:rsidRPr="00296283" w:rsidRDefault="00F711DF">
                            <w:pPr>
                              <w:pStyle w:val="ListParagraph"/>
                              <w:numPr>
                                <w:ilvl w:val="0"/>
                                <w:numId w:val="25"/>
                              </w:numPr>
                              <w:spacing w:after="240"/>
                              <w:ind w:left="714" w:hanging="357"/>
                              <w:rPr>
                                <w:b/>
                                <w:color w:val="002060"/>
                                <w:sz w:val="28"/>
                              </w:rPr>
                            </w:pPr>
                            <w:bookmarkStart w:id="9" w:name="_Toc508718775"/>
                            <w:r w:rsidRPr="00296283">
                              <w:rPr>
                                <w:b/>
                                <w:color w:val="002060"/>
                                <w:sz w:val="28"/>
                              </w:rPr>
                              <w:t xml:space="preserve">Concessions </w:t>
                            </w:r>
                            <w:r>
                              <w:rPr>
                                <w:b/>
                                <w:color w:val="002060"/>
                                <w:sz w:val="28"/>
                              </w:rPr>
                              <w:t>can</w:t>
                            </w:r>
                            <w:r w:rsidRPr="00296283">
                              <w:rPr>
                                <w:b/>
                                <w:color w:val="002060"/>
                                <w:sz w:val="28"/>
                              </w:rPr>
                              <w:t xml:space="preserve"> assist with small business cash flow</w:t>
                            </w:r>
                            <w:bookmarkEnd w:id="9"/>
                          </w:p>
                          <w:p w14:paraId="6A5C98CC" w14:textId="3F4B7362" w:rsidR="00F711DF" w:rsidRDefault="00F711DF" w:rsidP="00081CC1">
                            <w:pPr>
                              <w:pStyle w:val="ListParagraph"/>
                              <w:spacing w:after="120"/>
                              <w:rPr>
                                <w:sz w:val="24"/>
                                <w:szCs w:val="24"/>
                              </w:rPr>
                            </w:pPr>
                            <w:r w:rsidRPr="00081CC1">
                              <w:rPr>
                                <w:sz w:val="24"/>
                                <w:szCs w:val="24"/>
                              </w:rPr>
                              <w:t>Cash flow is a crucial concern for many small businesses, especially when they ar</w:t>
                            </w:r>
                            <w:r>
                              <w:rPr>
                                <w:sz w:val="24"/>
                                <w:szCs w:val="24"/>
                              </w:rPr>
                              <w:t>e at the most critical phases in</w:t>
                            </w:r>
                            <w:r w:rsidRPr="00081CC1">
                              <w:rPr>
                                <w:sz w:val="24"/>
                                <w:szCs w:val="24"/>
                              </w:rPr>
                              <w:t xml:space="preserve"> the</w:t>
                            </w:r>
                            <w:r>
                              <w:rPr>
                                <w:sz w:val="24"/>
                                <w:szCs w:val="24"/>
                              </w:rPr>
                              <w:t>ir life cycle. It is</w:t>
                            </w:r>
                            <w:r w:rsidRPr="00081CC1">
                              <w:rPr>
                                <w:sz w:val="24"/>
                                <w:szCs w:val="24"/>
                              </w:rPr>
                              <w:t xml:space="preserve"> particularly important during the inception stage and can </w:t>
                            </w:r>
                            <w:r>
                              <w:rPr>
                                <w:sz w:val="24"/>
                                <w:szCs w:val="24"/>
                              </w:rPr>
                              <w:t>also impact</w:t>
                            </w:r>
                            <w:r w:rsidRPr="00081CC1">
                              <w:rPr>
                                <w:sz w:val="24"/>
                                <w:szCs w:val="24"/>
                              </w:rPr>
                              <w:t xml:space="preserve"> whether a business is able to survive a temporary downturn.</w:t>
                            </w:r>
                          </w:p>
                          <w:p w14:paraId="298311E2" w14:textId="29302A93" w:rsidR="00F711DF" w:rsidRDefault="00F711DF" w:rsidP="00081CC1">
                            <w:pPr>
                              <w:pStyle w:val="ListParagraph"/>
                              <w:spacing w:after="120"/>
                              <w:rPr>
                                <w:sz w:val="24"/>
                                <w:szCs w:val="24"/>
                              </w:rPr>
                            </w:pPr>
                            <w:r>
                              <w:rPr>
                                <w:sz w:val="24"/>
                                <w:szCs w:val="24"/>
                              </w:rPr>
                              <w:t xml:space="preserve">The challenges faced by small businesses in managing cash flow can often reflect a lack of financial literacy or limited access </w:t>
                            </w:r>
                            <w:r w:rsidR="00733A7C">
                              <w:rPr>
                                <w:sz w:val="24"/>
                                <w:szCs w:val="24"/>
                              </w:rPr>
                              <w:t>to relevant tools or expertise.</w:t>
                            </w:r>
                          </w:p>
                          <w:p w14:paraId="6A5C98CD" w14:textId="731B24E2" w:rsidR="00F711DF" w:rsidRPr="00081CC1" w:rsidRDefault="00F711DF" w:rsidP="001207A8">
                            <w:pPr>
                              <w:pStyle w:val="ListParagraph"/>
                              <w:spacing w:after="120"/>
                              <w:rPr>
                                <w:sz w:val="24"/>
                                <w:szCs w:val="24"/>
                              </w:rPr>
                            </w:pPr>
                            <w:r>
                              <w:rPr>
                                <w:sz w:val="24"/>
                                <w:szCs w:val="24"/>
                              </w:rPr>
                              <w:t>The tax system can also affect small business cash flow in a more direct way</w:t>
                            </w:r>
                            <w:r w:rsidRPr="001207A8">
                              <w:rPr>
                                <w:sz w:val="24"/>
                                <w:szCs w:val="24"/>
                              </w:rPr>
                              <w:t xml:space="preserve">. For example, </w:t>
                            </w:r>
                            <w:r>
                              <w:rPr>
                                <w:sz w:val="24"/>
                                <w:szCs w:val="24"/>
                              </w:rPr>
                              <w:t>s</w:t>
                            </w:r>
                            <w:r w:rsidRPr="00081CC1">
                              <w:rPr>
                                <w:sz w:val="24"/>
                                <w:szCs w:val="24"/>
                              </w:rPr>
                              <w:t xml:space="preserve">ome of the most valuable concessions operate to reduce tax payable through concessional rates or increased </w:t>
                            </w:r>
                            <w:r>
                              <w:rPr>
                                <w:sz w:val="24"/>
                                <w:szCs w:val="24"/>
                              </w:rPr>
                              <w:t>(</w:t>
                            </w:r>
                            <w:r w:rsidRPr="00081CC1">
                              <w:rPr>
                                <w:sz w:val="24"/>
                                <w:szCs w:val="24"/>
                              </w:rPr>
                              <w:t>or accelerated</w:t>
                            </w:r>
                            <w:r>
                              <w:rPr>
                                <w:sz w:val="24"/>
                                <w:szCs w:val="24"/>
                              </w:rPr>
                              <w:t>)</w:t>
                            </w:r>
                            <w:r w:rsidRPr="00081CC1">
                              <w:rPr>
                                <w:sz w:val="24"/>
                                <w:szCs w:val="24"/>
                              </w:rPr>
                              <w:t xml:space="preserve"> tax deductions. However, for a business in the start-up phase or undergoing a temporary setback, these concessions may merely add to the stock of tax losses rather than providing an immediate cash flow benefit.</w:t>
                            </w:r>
                          </w:p>
                          <w:p w14:paraId="6A5C98CE" w14:textId="79BFB46A" w:rsidR="00F711DF" w:rsidRPr="00D06DC4" w:rsidRDefault="00F711DF" w:rsidP="00081CC1">
                            <w:pPr>
                              <w:pStyle w:val="ListParagraph"/>
                              <w:spacing w:after="120"/>
                              <w:rPr>
                                <w:b/>
                                <w:sz w:val="24"/>
                                <w:szCs w:val="24"/>
                              </w:rPr>
                            </w:pPr>
                            <w:r w:rsidRPr="00081CC1">
                              <w:rPr>
                                <w:sz w:val="24"/>
                                <w:szCs w:val="24"/>
                              </w:rPr>
                              <w:t>There is scope to complement the existing suite of concessions with</w:t>
                            </w:r>
                            <w:r>
                              <w:rPr>
                                <w:sz w:val="24"/>
                                <w:szCs w:val="24"/>
                              </w:rPr>
                              <w:t xml:space="preserve"> specific</w:t>
                            </w:r>
                            <w:r w:rsidRPr="00081CC1">
                              <w:rPr>
                                <w:sz w:val="24"/>
                                <w:szCs w:val="24"/>
                              </w:rPr>
                              <w:t xml:space="preserve"> relief designed to provide targeted cash flow assistance in </w:t>
                            </w:r>
                            <w:r>
                              <w:rPr>
                                <w:sz w:val="24"/>
                                <w:szCs w:val="24"/>
                              </w:rPr>
                              <w:t xml:space="preserve">specific temporary </w:t>
                            </w:r>
                            <w:r w:rsidRPr="00081CC1">
                              <w:rPr>
                                <w:sz w:val="24"/>
                                <w:szCs w:val="24"/>
                              </w:rPr>
                              <w:t>situations</w:t>
                            </w:r>
                            <w:r>
                              <w:rPr>
                                <w:sz w:val="24"/>
                                <w:szCs w:val="24"/>
                              </w:rPr>
                              <w:t>. However, if it is identified that better solutions may be available outside the operation of the tax system, these so</w:t>
                            </w:r>
                            <w:r w:rsidR="00733A7C">
                              <w:rPr>
                                <w:sz w:val="24"/>
                                <w:szCs w:val="24"/>
                              </w:rPr>
                              <w:t>lutions will also be explored.</w:t>
                            </w:r>
                          </w:p>
                        </w:txbxContent>
                      </wps:txbx>
                      <wps:bodyPr rot="0" vert="horz" wrap="square" lIns="0" tIns="0" rIns="226800" bIns="0" anchor="ctr" anchorCtr="0">
                        <a:noAutofit/>
                      </wps:bodyPr>
                    </wps:wsp>
                  </a:graphicData>
                </a:graphic>
              </wp:inline>
            </w:drawing>
          </mc:Choice>
          <mc:Fallback>
            <w:pict>
              <v:rect id="_x0000_s1027" style="width:479.35pt;height:318.7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" fillcolor="white [3212]" stroked="f" strokeweight="1.5pt">
                <v:shadow on="t" type="perspective" color="black" opacity="26214f" offset="0,0" matrix="66191f,,,66191f"/>
                <o:lock v:ext="edit" aspectratio="t"/>
                <v:textbox inset="0,0,6.3mm,0">
                  <w:txbxContent>
                    <w:p w14:paraId="6A5C98CB" w14:textId="77777777" w:rsidR="00F711DF" w:rsidRPr="00296283" w:rsidRDefault="00F711DF">
                      <w:pPr>
                        <w:pStyle w:val="ListParagraph"/>
                        <w:numPr>
                          <w:ilvl w:val="0"/>
                          <w:numId w:val="25"/>
                        </w:numPr>
                        <w:spacing w:after="240"/>
                        <w:ind w:left="714" w:hanging="357"/>
                        <w:rPr>
                          <w:b/>
                          <w:color w:val="002060"/>
                          <w:sz w:val="28"/>
                        </w:rPr>
                      </w:pPr>
                      <w:bookmarkStart w:id="10" w:name="_Toc508718775"/>
                      <w:r w:rsidRPr="00296283">
                        <w:rPr>
                          <w:b/>
                          <w:color w:val="002060"/>
                          <w:sz w:val="28"/>
                        </w:rPr>
                        <w:t xml:space="preserve">Concessions </w:t>
                      </w:r>
                      <w:r>
                        <w:rPr>
                          <w:b/>
                          <w:color w:val="002060"/>
                          <w:sz w:val="28"/>
                        </w:rPr>
                        <w:t>can</w:t>
                      </w:r>
                      <w:r w:rsidRPr="00296283">
                        <w:rPr>
                          <w:b/>
                          <w:color w:val="002060"/>
                          <w:sz w:val="28"/>
                        </w:rPr>
                        <w:t xml:space="preserve"> assist with small business cash flow</w:t>
                      </w:r>
                      <w:bookmarkEnd w:id="10"/>
                    </w:p>
                    <w:p w14:paraId="6A5C98CC" w14:textId="3F4B7362" w:rsidR="00F711DF" w:rsidRDefault="00F711DF" w:rsidP="00081CC1">
                      <w:pPr>
                        <w:pStyle w:val="ListParagraph"/>
                        <w:spacing w:after="120"/>
                        <w:rPr>
                          <w:sz w:val="24"/>
                          <w:szCs w:val="24"/>
                        </w:rPr>
                      </w:pPr>
                      <w:r w:rsidRPr="00081CC1">
                        <w:rPr>
                          <w:sz w:val="24"/>
                          <w:szCs w:val="24"/>
                        </w:rPr>
                        <w:t>Cash flow is a crucial concern for many small businesses, especially when they ar</w:t>
                      </w:r>
                      <w:r>
                        <w:rPr>
                          <w:sz w:val="24"/>
                          <w:szCs w:val="24"/>
                        </w:rPr>
                        <w:t>e at the most critical phases in</w:t>
                      </w:r>
                      <w:r w:rsidRPr="00081CC1">
                        <w:rPr>
                          <w:sz w:val="24"/>
                          <w:szCs w:val="24"/>
                        </w:rPr>
                        <w:t xml:space="preserve"> the</w:t>
                      </w:r>
                      <w:r>
                        <w:rPr>
                          <w:sz w:val="24"/>
                          <w:szCs w:val="24"/>
                        </w:rPr>
                        <w:t>ir life cycle. It is</w:t>
                      </w:r>
                      <w:r w:rsidRPr="00081CC1">
                        <w:rPr>
                          <w:sz w:val="24"/>
                          <w:szCs w:val="24"/>
                        </w:rPr>
                        <w:t xml:space="preserve"> particularly important during the inception stage and can </w:t>
                      </w:r>
                      <w:r>
                        <w:rPr>
                          <w:sz w:val="24"/>
                          <w:szCs w:val="24"/>
                        </w:rPr>
                        <w:t>also impact</w:t>
                      </w:r>
                      <w:r w:rsidRPr="00081CC1">
                        <w:rPr>
                          <w:sz w:val="24"/>
                          <w:szCs w:val="24"/>
                        </w:rPr>
                        <w:t xml:space="preserve"> whether a business is able to survive a temporary downturn.</w:t>
                      </w:r>
                    </w:p>
                    <w:p w14:paraId="298311E2" w14:textId="29302A93" w:rsidR="00F711DF" w:rsidRDefault="00F711DF" w:rsidP="00081CC1">
                      <w:pPr>
                        <w:pStyle w:val="ListParagraph"/>
                        <w:spacing w:after="120"/>
                        <w:rPr>
                          <w:sz w:val="24"/>
                          <w:szCs w:val="24"/>
                        </w:rPr>
                      </w:pPr>
                      <w:r>
                        <w:rPr>
                          <w:sz w:val="24"/>
                          <w:szCs w:val="24"/>
                        </w:rPr>
                        <w:t xml:space="preserve">The challenges faced by small businesses in managing cash flow can often reflect a lack of financial literacy or limited access </w:t>
                      </w:r>
                      <w:r w:rsidR="00733A7C">
                        <w:rPr>
                          <w:sz w:val="24"/>
                          <w:szCs w:val="24"/>
                        </w:rPr>
                        <w:t>to relevant tools or expertise.</w:t>
                      </w:r>
                    </w:p>
                    <w:p w14:paraId="6A5C98CD" w14:textId="731B24E2" w:rsidR="00F711DF" w:rsidRPr="00081CC1" w:rsidRDefault="00F711DF" w:rsidP="001207A8">
                      <w:pPr>
                        <w:pStyle w:val="ListParagraph"/>
                        <w:spacing w:after="120"/>
                        <w:rPr>
                          <w:sz w:val="24"/>
                          <w:szCs w:val="24"/>
                        </w:rPr>
                      </w:pPr>
                      <w:r>
                        <w:rPr>
                          <w:sz w:val="24"/>
                          <w:szCs w:val="24"/>
                        </w:rPr>
                        <w:t>The tax system can also affect small business cash flow in a more direct way</w:t>
                      </w:r>
                      <w:r w:rsidRPr="001207A8">
                        <w:rPr>
                          <w:sz w:val="24"/>
                          <w:szCs w:val="24"/>
                        </w:rPr>
                        <w:t xml:space="preserve">. For example, </w:t>
                      </w:r>
                      <w:r>
                        <w:rPr>
                          <w:sz w:val="24"/>
                          <w:szCs w:val="24"/>
                        </w:rPr>
                        <w:t>s</w:t>
                      </w:r>
                      <w:r w:rsidRPr="00081CC1">
                        <w:rPr>
                          <w:sz w:val="24"/>
                          <w:szCs w:val="24"/>
                        </w:rPr>
                        <w:t xml:space="preserve">ome of the most valuable concessions operate to reduce tax payable through concessional rates or increased </w:t>
                      </w:r>
                      <w:r>
                        <w:rPr>
                          <w:sz w:val="24"/>
                          <w:szCs w:val="24"/>
                        </w:rPr>
                        <w:t>(</w:t>
                      </w:r>
                      <w:r w:rsidRPr="00081CC1">
                        <w:rPr>
                          <w:sz w:val="24"/>
                          <w:szCs w:val="24"/>
                        </w:rPr>
                        <w:t>or accelerated</w:t>
                      </w:r>
                      <w:r>
                        <w:rPr>
                          <w:sz w:val="24"/>
                          <w:szCs w:val="24"/>
                        </w:rPr>
                        <w:t>)</w:t>
                      </w:r>
                      <w:r w:rsidRPr="00081CC1">
                        <w:rPr>
                          <w:sz w:val="24"/>
                          <w:szCs w:val="24"/>
                        </w:rPr>
                        <w:t xml:space="preserve"> tax deductions. However, for a business in the start-up phase or undergoing a temporary setback, these concessions may merely add to the stock of tax losses rather than providing an immediate cash flow benefit.</w:t>
                      </w:r>
                    </w:p>
                    <w:p w14:paraId="6A5C98CE" w14:textId="79BFB46A" w:rsidR="00F711DF" w:rsidRPr="00D06DC4" w:rsidRDefault="00F711DF" w:rsidP="00081CC1">
                      <w:pPr>
                        <w:pStyle w:val="ListParagraph"/>
                        <w:spacing w:after="120"/>
                        <w:rPr>
                          <w:b/>
                          <w:sz w:val="24"/>
                          <w:szCs w:val="24"/>
                        </w:rPr>
                      </w:pPr>
                      <w:r w:rsidRPr="00081CC1">
                        <w:rPr>
                          <w:sz w:val="24"/>
                          <w:szCs w:val="24"/>
                        </w:rPr>
                        <w:t>There is scope to complement the existing suite of concessions with</w:t>
                      </w:r>
                      <w:r>
                        <w:rPr>
                          <w:sz w:val="24"/>
                          <w:szCs w:val="24"/>
                        </w:rPr>
                        <w:t xml:space="preserve"> specific</w:t>
                      </w:r>
                      <w:r w:rsidRPr="00081CC1">
                        <w:rPr>
                          <w:sz w:val="24"/>
                          <w:szCs w:val="24"/>
                        </w:rPr>
                        <w:t xml:space="preserve"> relief designed to provide targeted cash flow assistance in </w:t>
                      </w:r>
                      <w:r>
                        <w:rPr>
                          <w:sz w:val="24"/>
                          <w:szCs w:val="24"/>
                        </w:rPr>
                        <w:t xml:space="preserve">specific temporary </w:t>
                      </w:r>
                      <w:r w:rsidRPr="00081CC1">
                        <w:rPr>
                          <w:sz w:val="24"/>
                          <w:szCs w:val="24"/>
                        </w:rPr>
                        <w:t>situations</w:t>
                      </w:r>
                      <w:r>
                        <w:rPr>
                          <w:sz w:val="24"/>
                          <w:szCs w:val="24"/>
                        </w:rPr>
                        <w:t>. However, if it is identified that better solutions may be available outside the operation of the tax system, these so</w:t>
                      </w:r>
                      <w:r w:rsidR="00733A7C">
                        <w:rPr>
                          <w:sz w:val="24"/>
                          <w:szCs w:val="24"/>
                        </w:rPr>
                        <w:t>lutions will also be explored.</w:t>
                      </w:r>
                    </w:p>
                  </w:txbxContent>
                </v:textbox>
                <w10:anchorlock/>
              </v:rect>
            </w:pict>
          </mc:Fallback>
        </mc:AlternateContent>
      </w:r>
    </w:p>
    <w:p w14:paraId="6A5C9830" w14:textId="77777777" w:rsidR="00AA56D0" w:rsidRDefault="00C73547" w:rsidP="000D03AD">
      <w:pPr>
        <w:rPr>
          <w:b/>
          <w:bCs/>
        </w:rPr>
      </w:pPr>
      <w:r>
        <w:rPr>
          <w:b/>
          <w:bCs/>
          <w:noProof/>
        </w:rPr>
        <mc:AlternateContent>
          <mc:Choice Requires="wps">
            <w:drawing>
              <wp:inline distT="0" distB="0" distL="0" distR="0" wp14:anchorId="6A5C989E" wp14:editId="1C77CBB0">
                <wp:extent cx="6087600" cy="3009900"/>
                <wp:effectExtent l="95250" t="95250" r="104140" b="95250"/>
                <wp:docPr id="674" name="Rectangle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6087600" cy="3009900"/>
                        </a:xfrm>
                        <a:prstGeom prst="rect">
                          <a:avLst/>
                        </a:prstGeom>
                        <a:solidFill>
                          <a:schemeClr val="bg1"/>
                        </a:solidFill>
                        <a:ln w="19050">
                          <a:noFill/>
                          <a:miter lim="800000"/>
                          <a:headEnd/>
                          <a:tailEnd/>
                        </a:ln>
                        <a:effectLst>
                          <a:outerShdw blurRad="63500" sx="101000" sy="101000" algn="ctr" rotWithShape="0">
                            <a:prstClr val="black">
                              <a:alpha val="40000"/>
                            </a:prstClr>
                          </a:outerShdw>
                        </a:effectLst>
                      </wps:spPr>
                      <wps:txbx>
                        <w:txbxContent>
                          <w:p w14:paraId="6A5C98CF" w14:textId="77777777" w:rsidR="00F711DF" w:rsidRPr="00D06DC4" w:rsidRDefault="00F711DF" w:rsidP="00081CC1">
                            <w:pPr>
                              <w:pStyle w:val="ListParagraph"/>
                              <w:numPr>
                                <w:ilvl w:val="0"/>
                                <w:numId w:val="25"/>
                              </w:numPr>
                              <w:spacing w:after="240"/>
                              <w:ind w:left="714" w:hanging="357"/>
                              <w:rPr>
                                <w:b/>
                                <w:color w:val="002060"/>
                                <w:sz w:val="32"/>
                                <w:szCs w:val="24"/>
                              </w:rPr>
                            </w:pPr>
                            <w:r>
                              <w:rPr>
                                <w:b/>
                                <w:color w:val="002060"/>
                                <w:sz w:val="28"/>
                              </w:rPr>
                              <w:t>Concessions should relieve the compliance burden for small business</w:t>
                            </w:r>
                          </w:p>
                          <w:p w14:paraId="6A5C98D0" w14:textId="77777777" w:rsidR="00F711DF" w:rsidRPr="00AA56D0" w:rsidRDefault="00F711DF" w:rsidP="00AA56D0">
                            <w:pPr>
                              <w:pStyle w:val="ListParagraph"/>
                              <w:spacing w:after="120"/>
                              <w:rPr>
                                <w:sz w:val="24"/>
                                <w:szCs w:val="24"/>
                              </w:rPr>
                            </w:pPr>
                            <w:r w:rsidRPr="00AA56D0">
                              <w:rPr>
                                <w:sz w:val="24"/>
                                <w:szCs w:val="24"/>
                              </w:rPr>
                              <w:t>The Australian tax system is complex and imposes significant compliance cost</w:t>
                            </w:r>
                            <w:r>
                              <w:rPr>
                                <w:sz w:val="24"/>
                                <w:szCs w:val="24"/>
                              </w:rPr>
                              <w:t>s</w:t>
                            </w:r>
                            <w:r w:rsidRPr="00AA56D0">
                              <w:rPr>
                                <w:sz w:val="24"/>
                                <w:szCs w:val="24"/>
                              </w:rPr>
                              <w:t xml:space="preserve"> on business. It is widely accepted that small businesses, lacking the economies of scale and in-house expertise of their larger counterparts, are disproportionately affected by the cost of compliance. Th</w:t>
                            </w:r>
                            <w:r>
                              <w:rPr>
                                <w:sz w:val="24"/>
                                <w:szCs w:val="24"/>
                              </w:rPr>
                              <w:t>is</w:t>
                            </w:r>
                            <w:r w:rsidRPr="00AA56D0">
                              <w:rPr>
                                <w:sz w:val="24"/>
                                <w:szCs w:val="24"/>
                              </w:rPr>
                              <w:t xml:space="preserve"> is not helped by the apparent tendency among many small businesses to adopt complex business structures, often comprising multiple entities of different types.</w:t>
                            </w:r>
                          </w:p>
                          <w:p w14:paraId="6A5C98D3" w14:textId="4DDC3BA0" w:rsidR="00F711DF" w:rsidRPr="00D16A7C" w:rsidRDefault="00F711DF" w:rsidP="00733A7C">
                            <w:pPr>
                              <w:ind w:left="720"/>
                              <w:rPr>
                                <w:b/>
                              </w:rPr>
                            </w:pPr>
                            <w:r w:rsidRPr="00AA56D0">
                              <w:rPr>
                                <w:sz w:val="24"/>
                                <w:szCs w:val="24"/>
                              </w:rPr>
                              <w:t>As the Board has previously observed, the costs of complying with tax obligations are not just measured in dollars. Small business owners can also suffer significant non-financial costs in the form of stress and lost time</w:t>
                            </w:r>
                            <w:r w:rsidRPr="008D6994">
                              <w:rPr>
                                <w:sz w:val="24"/>
                                <w:szCs w:val="24"/>
                              </w:rPr>
                              <w:t>.  Accordingly, easing the compliance burden for small business should be a primary concern in the design of concessions.</w:t>
                            </w:r>
                          </w:p>
                        </w:txbxContent>
                      </wps:txbx>
                      <wps:bodyPr rot="0" vert="horz" wrap="square" lIns="0" tIns="0" rIns="226800" bIns="0" anchor="ctr" anchorCtr="0">
                        <a:noAutofit/>
                      </wps:bodyPr>
                    </wps:wsp>
                  </a:graphicData>
                </a:graphic>
              </wp:inline>
            </w:drawing>
          </mc:Choice>
          <mc:Fallback>
            <w:pict>
              <v:rect id="_x0000_s1028" style="width:479.35pt;height:237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" fillcolor="white [3212]" stroked="f" strokeweight="1.5pt">
                <v:shadow on="t" type="perspective" color="black" opacity="26214f" offset="0,0" matrix="66191f,,,66191f"/>
                <o:lock v:ext="edit" aspectratio="t"/>
                <v:textbox inset="0,0,6.3mm,0">
                  <w:txbxContent>
                    <w:p w14:paraId="6A5C98CF" w14:textId="77777777" w:rsidR="00F711DF" w:rsidRPr="00D06DC4" w:rsidRDefault="00F711DF" w:rsidP="00081CC1">
                      <w:pPr>
                        <w:pStyle w:val="ListParagraph"/>
                        <w:numPr>
                          <w:ilvl w:val="0"/>
                          <w:numId w:val="25"/>
                        </w:numPr>
                        <w:spacing w:after="240"/>
                        <w:ind w:left="714" w:hanging="357"/>
                        <w:rPr>
                          <w:b/>
                          <w:color w:val="002060"/>
                          <w:sz w:val="32"/>
                          <w:szCs w:val="24"/>
                        </w:rPr>
                      </w:pPr>
                      <w:r>
                        <w:rPr>
                          <w:b/>
                          <w:color w:val="002060"/>
                          <w:sz w:val="28"/>
                        </w:rPr>
                        <w:t>Concessions should relieve the compliance burden for small business</w:t>
                      </w:r>
                    </w:p>
                    <w:p w14:paraId="6A5C98D0" w14:textId="77777777" w:rsidR="00F711DF" w:rsidRPr="00AA56D0" w:rsidRDefault="00F711DF" w:rsidP="00AA56D0">
                      <w:pPr>
                        <w:pStyle w:val="ListParagraph"/>
                        <w:spacing w:after="120"/>
                        <w:rPr>
                          <w:sz w:val="24"/>
                          <w:szCs w:val="24"/>
                        </w:rPr>
                      </w:pPr>
                      <w:r w:rsidRPr="00AA56D0">
                        <w:rPr>
                          <w:sz w:val="24"/>
                          <w:szCs w:val="24"/>
                        </w:rPr>
                        <w:t>The Australian tax system is complex and imposes significant compliance cost</w:t>
                      </w:r>
                      <w:r>
                        <w:rPr>
                          <w:sz w:val="24"/>
                          <w:szCs w:val="24"/>
                        </w:rPr>
                        <w:t>s</w:t>
                      </w:r>
                      <w:r w:rsidRPr="00AA56D0">
                        <w:rPr>
                          <w:sz w:val="24"/>
                          <w:szCs w:val="24"/>
                        </w:rPr>
                        <w:t xml:space="preserve"> on business. It is widely accepted that small businesses, lacking the economies of scale and in-house expertise of their larger counterparts, are disproportionately affected by the cost of compliance. Th</w:t>
                      </w:r>
                      <w:r>
                        <w:rPr>
                          <w:sz w:val="24"/>
                          <w:szCs w:val="24"/>
                        </w:rPr>
                        <w:t>is</w:t>
                      </w:r>
                      <w:r w:rsidRPr="00AA56D0">
                        <w:rPr>
                          <w:sz w:val="24"/>
                          <w:szCs w:val="24"/>
                        </w:rPr>
                        <w:t xml:space="preserve"> is not helped by the apparent tendency among many small businesses to adopt complex business structures, often comprising multiple entities of different types.</w:t>
                      </w:r>
                    </w:p>
                    <w:p w14:paraId="6A5C98D3" w14:textId="4DDC3BA0" w:rsidR="00F711DF" w:rsidRPr="00D16A7C" w:rsidRDefault="00F711DF" w:rsidP="00733A7C">
                      <w:pPr>
                        <w:ind w:left="720"/>
                        <w:rPr>
                          <w:b/>
                        </w:rPr>
                      </w:pPr>
                      <w:r w:rsidRPr="00AA56D0">
                        <w:rPr>
                          <w:sz w:val="24"/>
                          <w:szCs w:val="24"/>
                        </w:rPr>
                        <w:t>As the Board has previously observed, the costs of complying with tax obligations are not just measured in dollars. Small business owners can also suffer significant non-financial costs in the form of stress and lost time</w:t>
                      </w:r>
                      <w:r w:rsidRPr="008D6994">
                        <w:rPr>
                          <w:sz w:val="24"/>
                          <w:szCs w:val="24"/>
                        </w:rPr>
                        <w:t>.  Accordingly, easing the compliance burden for small business should be a primary concern in the design of concessions.</w:t>
                      </w:r>
                    </w:p>
                  </w:txbxContent>
                </v:textbox>
                <w10:anchorlock/>
              </v:rect>
            </w:pict>
          </mc:Fallback>
        </mc:AlternateContent>
      </w:r>
    </w:p>
    <w:p w14:paraId="6A5C9831" w14:textId="77777777" w:rsidR="00171690" w:rsidRPr="00733A7C" w:rsidRDefault="00C73547" w:rsidP="00733A7C">
      <w:r>
        <w:rPr>
          <w:noProof/>
        </w:rPr>
        <w:lastRenderedPageBreak/>
        <mc:AlternateContent>
          <mc:Choice Requires="wps">
            <w:drawing>
              <wp:inline distT="0" distB="0" distL="0" distR="0" wp14:anchorId="6A5C98A0" wp14:editId="7310227A">
                <wp:extent cx="6087600" cy="4276725"/>
                <wp:effectExtent l="95250" t="95250" r="104140" b="104775"/>
                <wp:docPr id="67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87600" cy="4276725"/>
                        </a:xfrm>
                        <a:prstGeom prst="rect">
                          <a:avLst/>
                        </a:prstGeom>
                        <a:solidFill>
                          <a:schemeClr val="bg1"/>
                        </a:solidFill>
                        <a:ln w="19050">
                          <a:noFill/>
                          <a:miter lim="800000"/>
                          <a:headEnd/>
                          <a:tailEnd/>
                        </a:ln>
                        <a:effectLst>
                          <a:outerShdw blurRad="63500" sx="101000" sy="101000" algn="ctr" rotWithShape="0">
                            <a:prstClr val="black">
                              <a:alpha val="40000"/>
                            </a:prstClr>
                          </a:outerShdw>
                        </a:effectLst>
                      </wps:spPr>
                      <wps:txbx>
                        <w:txbxContent>
                          <w:p w14:paraId="6A5C98D4" w14:textId="5ADEEE50" w:rsidR="00F711DF" w:rsidRPr="00D06DC4" w:rsidRDefault="00F711DF" w:rsidP="00AA56D0">
                            <w:pPr>
                              <w:pStyle w:val="ListParagraph"/>
                              <w:numPr>
                                <w:ilvl w:val="0"/>
                                <w:numId w:val="25"/>
                              </w:numPr>
                              <w:spacing w:after="240"/>
                              <w:ind w:left="714" w:hanging="357"/>
                              <w:rPr>
                                <w:b/>
                                <w:color w:val="002060"/>
                                <w:sz w:val="32"/>
                                <w:szCs w:val="24"/>
                              </w:rPr>
                            </w:pPr>
                            <w:r>
                              <w:rPr>
                                <w:b/>
                                <w:color w:val="002060"/>
                                <w:sz w:val="28"/>
                              </w:rPr>
                              <w:t>Concessions should promote growth and innovation</w:t>
                            </w:r>
                          </w:p>
                          <w:p w14:paraId="6A5C98D5" w14:textId="77777777" w:rsidR="00F711DF" w:rsidRPr="00AA56D0" w:rsidRDefault="00F711DF" w:rsidP="00AA56D0">
                            <w:pPr>
                              <w:pStyle w:val="ListParagraph"/>
                              <w:spacing w:after="120"/>
                              <w:rPr>
                                <w:sz w:val="24"/>
                                <w:szCs w:val="24"/>
                              </w:rPr>
                            </w:pPr>
                            <w:r>
                              <w:rPr>
                                <w:sz w:val="24"/>
                                <w:szCs w:val="24"/>
                              </w:rPr>
                              <w:t xml:space="preserve">An </w:t>
                            </w:r>
                            <w:r w:rsidRPr="00AA56D0">
                              <w:rPr>
                                <w:sz w:val="24"/>
                                <w:szCs w:val="24"/>
                              </w:rPr>
                              <w:t xml:space="preserve">important goal of the tax system is to ensure that businesses </w:t>
                            </w:r>
                            <w:r>
                              <w:rPr>
                                <w:sz w:val="24"/>
                                <w:szCs w:val="24"/>
                              </w:rPr>
                              <w:t xml:space="preserve">that </w:t>
                            </w:r>
                            <w:r w:rsidRPr="00AA56D0">
                              <w:rPr>
                                <w:sz w:val="24"/>
                                <w:szCs w:val="24"/>
                              </w:rPr>
                              <w:t xml:space="preserve">wish to expand </w:t>
                            </w:r>
                            <w:r>
                              <w:rPr>
                                <w:sz w:val="24"/>
                                <w:szCs w:val="24"/>
                              </w:rPr>
                              <w:t xml:space="preserve">and innovate </w:t>
                            </w:r>
                            <w:r w:rsidRPr="00AA56D0">
                              <w:rPr>
                                <w:sz w:val="24"/>
                                <w:szCs w:val="24"/>
                              </w:rPr>
                              <w:t>are encouraged to do so.</w:t>
                            </w:r>
                          </w:p>
                          <w:p w14:paraId="6A5C98D6" w14:textId="77777777" w:rsidR="00F711DF" w:rsidRDefault="00F711DF" w:rsidP="00AA56D0">
                            <w:pPr>
                              <w:pStyle w:val="ListParagraph"/>
                              <w:spacing w:after="120"/>
                              <w:rPr>
                                <w:sz w:val="24"/>
                                <w:szCs w:val="24"/>
                              </w:rPr>
                            </w:pPr>
                            <w:r w:rsidRPr="00AA56D0">
                              <w:rPr>
                                <w:sz w:val="24"/>
                                <w:szCs w:val="24"/>
                              </w:rPr>
                              <w:t xml:space="preserve">Under </w:t>
                            </w:r>
                            <w:r>
                              <w:rPr>
                                <w:sz w:val="24"/>
                                <w:szCs w:val="24"/>
                              </w:rPr>
                              <w:t>Australia’s</w:t>
                            </w:r>
                            <w:r w:rsidRPr="00AA56D0">
                              <w:rPr>
                                <w:sz w:val="24"/>
                                <w:szCs w:val="24"/>
                              </w:rPr>
                              <w:t xml:space="preserve"> current </w:t>
                            </w:r>
                            <w:r>
                              <w:rPr>
                                <w:sz w:val="24"/>
                                <w:szCs w:val="24"/>
                              </w:rPr>
                              <w:t xml:space="preserve">tax </w:t>
                            </w:r>
                            <w:r w:rsidRPr="00AA56D0">
                              <w:rPr>
                                <w:sz w:val="24"/>
                                <w:szCs w:val="24"/>
                              </w:rPr>
                              <w:t xml:space="preserve">system, it has been observed that the design of concessions may sometimes make small business owners reluctant to grow their businesses. This </w:t>
                            </w:r>
                            <w:r>
                              <w:rPr>
                                <w:sz w:val="24"/>
                                <w:szCs w:val="24"/>
                              </w:rPr>
                              <w:t xml:space="preserve">is </w:t>
                            </w:r>
                            <w:r w:rsidRPr="00AA56D0">
                              <w:rPr>
                                <w:sz w:val="24"/>
                                <w:szCs w:val="24"/>
                              </w:rPr>
                              <w:t xml:space="preserve">because </w:t>
                            </w:r>
                            <w:r>
                              <w:rPr>
                                <w:sz w:val="24"/>
                                <w:szCs w:val="24"/>
                              </w:rPr>
                              <w:t xml:space="preserve">small business </w:t>
                            </w:r>
                            <w:r w:rsidRPr="00AA56D0">
                              <w:rPr>
                                <w:sz w:val="24"/>
                                <w:szCs w:val="24"/>
                              </w:rPr>
                              <w:t>tax concessions in Australia typically operate on an ‘all-or-nothing’ basis depending on whether the size of the business, measured in net assets or annual turnover, exceeds certain thresholds. Businesses that ‘outgrow’ these thresholds do so at the expense of forgoing these concessions</w:t>
                            </w:r>
                            <w:r>
                              <w:rPr>
                                <w:sz w:val="24"/>
                                <w:szCs w:val="24"/>
                              </w:rPr>
                              <w:t>.</w:t>
                            </w:r>
                          </w:p>
                          <w:p w14:paraId="6A5C98D7" w14:textId="77777777" w:rsidR="00F711DF" w:rsidRDefault="00F711DF" w:rsidP="00AA56D0">
                            <w:pPr>
                              <w:pStyle w:val="ListParagraph"/>
                              <w:spacing w:after="120"/>
                              <w:rPr>
                                <w:sz w:val="24"/>
                                <w:szCs w:val="24"/>
                              </w:rPr>
                            </w:pPr>
                            <w:r w:rsidRPr="00AA56D0">
                              <w:rPr>
                                <w:sz w:val="24"/>
                                <w:szCs w:val="24"/>
                              </w:rPr>
                              <w:t xml:space="preserve">The practical extent of the problems associated with </w:t>
                            </w:r>
                            <w:r>
                              <w:rPr>
                                <w:sz w:val="24"/>
                                <w:szCs w:val="24"/>
                              </w:rPr>
                              <w:t>‘</w:t>
                            </w:r>
                            <w:r w:rsidRPr="00AA56D0">
                              <w:rPr>
                                <w:sz w:val="24"/>
                                <w:szCs w:val="24"/>
                              </w:rPr>
                              <w:t>hard</w:t>
                            </w:r>
                            <w:r>
                              <w:rPr>
                                <w:sz w:val="24"/>
                                <w:szCs w:val="24"/>
                              </w:rPr>
                              <w:t>’</w:t>
                            </w:r>
                            <w:r w:rsidRPr="00AA56D0">
                              <w:rPr>
                                <w:sz w:val="24"/>
                                <w:szCs w:val="24"/>
                              </w:rPr>
                              <w:t xml:space="preserve"> cut-off thresholds is untested and should be </w:t>
                            </w:r>
                            <w:r>
                              <w:rPr>
                                <w:sz w:val="24"/>
                                <w:szCs w:val="24"/>
                              </w:rPr>
                              <w:t>reviewed</w:t>
                            </w:r>
                            <w:r w:rsidRPr="00AA56D0">
                              <w:rPr>
                                <w:sz w:val="24"/>
                                <w:szCs w:val="24"/>
                              </w:rPr>
                              <w:t xml:space="preserve"> further. However, subject to the outcome of that </w:t>
                            </w:r>
                            <w:r>
                              <w:rPr>
                                <w:sz w:val="24"/>
                                <w:szCs w:val="24"/>
                              </w:rPr>
                              <w:t>r</w:t>
                            </w:r>
                            <w:r w:rsidRPr="00AA56D0">
                              <w:rPr>
                                <w:sz w:val="24"/>
                                <w:szCs w:val="24"/>
                              </w:rPr>
                              <w:t>e</w:t>
                            </w:r>
                            <w:r>
                              <w:rPr>
                                <w:sz w:val="24"/>
                                <w:szCs w:val="24"/>
                              </w:rPr>
                              <w:t>view</w:t>
                            </w:r>
                            <w:r w:rsidRPr="00AA56D0">
                              <w:rPr>
                                <w:sz w:val="24"/>
                                <w:szCs w:val="24"/>
                              </w:rPr>
                              <w:t>, there is merit in exploring ways to design eligibility criteria for tax concessions that remove disincentives to growth</w:t>
                            </w:r>
                            <w:r>
                              <w:rPr>
                                <w:sz w:val="24"/>
                                <w:szCs w:val="24"/>
                              </w:rPr>
                              <w:t>.</w:t>
                            </w:r>
                          </w:p>
                          <w:p w14:paraId="6A5C98D8" w14:textId="77777777" w:rsidR="00F711DF" w:rsidRPr="007A0B5E" w:rsidRDefault="00F711DF">
                            <w:pPr>
                              <w:pStyle w:val="ListParagraph"/>
                              <w:spacing w:after="120"/>
                            </w:pPr>
                            <w:r>
                              <w:rPr>
                                <w:sz w:val="24"/>
                                <w:szCs w:val="24"/>
                              </w:rPr>
                              <w:t>In terms of the broader tax environment, barriers to capital investment remain a key challenge for small business. Ideally, the tax system should be designed to reduce disincentives for investing in both physical capital and technological innovation. It should also reflect the importance of human capital, by helping new businesses to take on employees, and established businesses to expand their workforce.</w:t>
                            </w:r>
                          </w:p>
                          <w:p w14:paraId="6A5C98D9" w14:textId="77777777" w:rsidR="00F711DF" w:rsidRPr="00296283" w:rsidRDefault="00F711DF" w:rsidP="00296283">
                            <w:pPr>
                              <w:rPr>
                                <w:sz w:val="24"/>
                                <w:szCs w:val="24"/>
                              </w:rPr>
                            </w:pPr>
                          </w:p>
                        </w:txbxContent>
                      </wps:txbx>
                      <wps:bodyPr rot="0" vert="horz" wrap="square" lIns="0" tIns="0" rIns="226800" bIns="0" anchor="ctr" anchorCtr="0">
                        <a:noAutofit/>
                      </wps:bodyPr>
                    </wps:wsp>
                  </a:graphicData>
                </a:graphic>
              </wp:inline>
            </w:drawing>
          </mc:Choice>
          <mc:Fallback>
            <w:pict>
              <v:rect id="_x0000_s1029" style="width:479.35pt;height:336.7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" fillcolor="white [3212]" stroked="f" strokeweight="1.5pt">
                <v:shadow on="t" type="perspective" color="black" opacity="26214f" offset="0,0" matrix="66191f,,,66191f"/>
                <v:textbox inset="0,0,6.3mm,0">
                  <w:txbxContent>
                    <w:p w14:paraId="6A5C98D4" w14:textId="5ADEEE50" w:rsidR="00F711DF" w:rsidRPr="00D06DC4" w:rsidRDefault="00F711DF" w:rsidP="00AA56D0">
                      <w:pPr>
                        <w:pStyle w:val="ListParagraph"/>
                        <w:numPr>
                          <w:ilvl w:val="0"/>
                          <w:numId w:val="25"/>
                        </w:numPr>
                        <w:spacing w:after="240"/>
                        <w:ind w:left="714" w:hanging="357"/>
                        <w:rPr>
                          <w:b/>
                          <w:color w:val="002060"/>
                          <w:sz w:val="32"/>
                          <w:szCs w:val="24"/>
                        </w:rPr>
                      </w:pPr>
                      <w:r>
                        <w:rPr>
                          <w:b/>
                          <w:color w:val="002060"/>
                          <w:sz w:val="28"/>
                        </w:rPr>
                        <w:t>Concessions should promote growth and innovation</w:t>
                      </w:r>
                    </w:p>
                    <w:p w14:paraId="6A5C98D5" w14:textId="77777777" w:rsidR="00F711DF" w:rsidRPr="00AA56D0" w:rsidRDefault="00F711DF" w:rsidP="00AA56D0">
                      <w:pPr>
                        <w:pStyle w:val="ListParagraph"/>
                        <w:spacing w:after="120"/>
                        <w:rPr>
                          <w:sz w:val="24"/>
                          <w:szCs w:val="24"/>
                        </w:rPr>
                      </w:pPr>
                      <w:r>
                        <w:rPr>
                          <w:sz w:val="24"/>
                          <w:szCs w:val="24"/>
                        </w:rPr>
                        <w:t xml:space="preserve">An </w:t>
                      </w:r>
                      <w:r w:rsidRPr="00AA56D0">
                        <w:rPr>
                          <w:sz w:val="24"/>
                          <w:szCs w:val="24"/>
                        </w:rPr>
                        <w:t xml:space="preserve">important goal of the tax system is to ensure that businesses </w:t>
                      </w:r>
                      <w:r>
                        <w:rPr>
                          <w:sz w:val="24"/>
                          <w:szCs w:val="24"/>
                        </w:rPr>
                        <w:t xml:space="preserve">that </w:t>
                      </w:r>
                      <w:r w:rsidRPr="00AA56D0">
                        <w:rPr>
                          <w:sz w:val="24"/>
                          <w:szCs w:val="24"/>
                        </w:rPr>
                        <w:t xml:space="preserve">wish to expand </w:t>
                      </w:r>
                      <w:r>
                        <w:rPr>
                          <w:sz w:val="24"/>
                          <w:szCs w:val="24"/>
                        </w:rPr>
                        <w:t xml:space="preserve">and innovate </w:t>
                      </w:r>
                      <w:r w:rsidRPr="00AA56D0">
                        <w:rPr>
                          <w:sz w:val="24"/>
                          <w:szCs w:val="24"/>
                        </w:rPr>
                        <w:t>are encouraged to do so.</w:t>
                      </w:r>
                    </w:p>
                    <w:p w14:paraId="6A5C98D6" w14:textId="77777777" w:rsidR="00F711DF" w:rsidRDefault="00F711DF" w:rsidP="00AA56D0">
                      <w:pPr>
                        <w:pStyle w:val="ListParagraph"/>
                        <w:spacing w:after="120"/>
                        <w:rPr>
                          <w:sz w:val="24"/>
                          <w:szCs w:val="24"/>
                        </w:rPr>
                      </w:pPr>
                      <w:r w:rsidRPr="00AA56D0">
                        <w:rPr>
                          <w:sz w:val="24"/>
                          <w:szCs w:val="24"/>
                        </w:rPr>
                        <w:t xml:space="preserve">Under </w:t>
                      </w:r>
                      <w:r>
                        <w:rPr>
                          <w:sz w:val="24"/>
                          <w:szCs w:val="24"/>
                        </w:rPr>
                        <w:t>Australia’s</w:t>
                      </w:r>
                      <w:r w:rsidRPr="00AA56D0">
                        <w:rPr>
                          <w:sz w:val="24"/>
                          <w:szCs w:val="24"/>
                        </w:rPr>
                        <w:t xml:space="preserve"> current </w:t>
                      </w:r>
                      <w:r>
                        <w:rPr>
                          <w:sz w:val="24"/>
                          <w:szCs w:val="24"/>
                        </w:rPr>
                        <w:t xml:space="preserve">tax </w:t>
                      </w:r>
                      <w:r w:rsidRPr="00AA56D0">
                        <w:rPr>
                          <w:sz w:val="24"/>
                          <w:szCs w:val="24"/>
                        </w:rPr>
                        <w:t xml:space="preserve">system, it has been observed that the design of concessions may sometimes make small business owners reluctant to grow their businesses. This </w:t>
                      </w:r>
                      <w:r>
                        <w:rPr>
                          <w:sz w:val="24"/>
                          <w:szCs w:val="24"/>
                        </w:rPr>
                        <w:t xml:space="preserve">is </w:t>
                      </w:r>
                      <w:r w:rsidRPr="00AA56D0">
                        <w:rPr>
                          <w:sz w:val="24"/>
                          <w:szCs w:val="24"/>
                        </w:rPr>
                        <w:t xml:space="preserve">because </w:t>
                      </w:r>
                      <w:r>
                        <w:rPr>
                          <w:sz w:val="24"/>
                          <w:szCs w:val="24"/>
                        </w:rPr>
                        <w:t xml:space="preserve">small business </w:t>
                      </w:r>
                      <w:r w:rsidRPr="00AA56D0">
                        <w:rPr>
                          <w:sz w:val="24"/>
                          <w:szCs w:val="24"/>
                        </w:rPr>
                        <w:t>tax concessions in Australia typically operate on an ‘all-or-nothing’ basis depending on whether the size of the business, measured in net assets or annual turnover, exceeds certain thresholds. Businesses that ‘outgrow’ these thresholds do so at the expense of forgoing these concessions</w:t>
                      </w:r>
                      <w:r>
                        <w:rPr>
                          <w:sz w:val="24"/>
                          <w:szCs w:val="24"/>
                        </w:rPr>
                        <w:t>.</w:t>
                      </w:r>
                    </w:p>
                    <w:p w14:paraId="6A5C98D7" w14:textId="77777777" w:rsidR="00F711DF" w:rsidRDefault="00F711DF" w:rsidP="00AA56D0">
                      <w:pPr>
                        <w:pStyle w:val="ListParagraph"/>
                        <w:spacing w:after="120"/>
                        <w:rPr>
                          <w:sz w:val="24"/>
                          <w:szCs w:val="24"/>
                        </w:rPr>
                      </w:pPr>
                      <w:r w:rsidRPr="00AA56D0">
                        <w:rPr>
                          <w:sz w:val="24"/>
                          <w:szCs w:val="24"/>
                        </w:rPr>
                        <w:t xml:space="preserve">The practical extent of the problems associated with </w:t>
                      </w:r>
                      <w:r>
                        <w:rPr>
                          <w:sz w:val="24"/>
                          <w:szCs w:val="24"/>
                        </w:rPr>
                        <w:t>‘</w:t>
                      </w:r>
                      <w:r w:rsidRPr="00AA56D0">
                        <w:rPr>
                          <w:sz w:val="24"/>
                          <w:szCs w:val="24"/>
                        </w:rPr>
                        <w:t>hard</w:t>
                      </w:r>
                      <w:r>
                        <w:rPr>
                          <w:sz w:val="24"/>
                          <w:szCs w:val="24"/>
                        </w:rPr>
                        <w:t>’</w:t>
                      </w:r>
                      <w:r w:rsidRPr="00AA56D0">
                        <w:rPr>
                          <w:sz w:val="24"/>
                          <w:szCs w:val="24"/>
                        </w:rPr>
                        <w:t xml:space="preserve"> cut-off thresholds is untested and should be </w:t>
                      </w:r>
                      <w:r>
                        <w:rPr>
                          <w:sz w:val="24"/>
                          <w:szCs w:val="24"/>
                        </w:rPr>
                        <w:t>reviewed</w:t>
                      </w:r>
                      <w:r w:rsidRPr="00AA56D0">
                        <w:rPr>
                          <w:sz w:val="24"/>
                          <w:szCs w:val="24"/>
                        </w:rPr>
                        <w:t xml:space="preserve"> further. However, subject to the outcome of that </w:t>
                      </w:r>
                      <w:r>
                        <w:rPr>
                          <w:sz w:val="24"/>
                          <w:szCs w:val="24"/>
                        </w:rPr>
                        <w:t>r</w:t>
                      </w:r>
                      <w:r w:rsidRPr="00AA56D0">
                        <w:rPr>
                          <w:sz w:val="24"/>
                          <w:szCs w:val="24"/>
                        </w:rPr>
                        <w:t>e</w:t>
                      </w:r>
                      <w:r>
                        <w:rPr>
                          <w:sz w:val="24"/>
                          <w:szCs w:val="24"/>
                        </w:rPr>
                        <w:t>view</w:t>
                      </w:r>
                      <w:r w:rsidRPr="00AA56D0">
                        <w:rPr>
                          <w:sz w:val="24"/>
                          <w:szCs w:val="24"/>
                        </w:rPr>
                        <w:t>, there is merit in exploring ways to design eligibility criteria for tax concessions that remove disincentives to growth</w:t>
                      </w:r>
                      <w:r>
                        <w:rPr>
                          <w:sz w:val="24"/>
                          <w:szCs w:val="24"/>
                        </w:rPr>
                        <w:t>.</w:t>
                      </w:r>
                    </w:p>
                    <w:p w14:paraId="6A5C98D8" w14:textId="77777777" w:rsidR="00F711DF" w:rsidRPr="007A0B5E" w:rsidRDefault="00F711DF">
                      <w:pPr>
                        <w:pStyle w:val="ListParagraph"/>
                        <w:spacing w:after="120"/>
                      </w:pPr>
                      <w:r>
                        <w:rPr>
                          <w:sz w:val="24"/>
                          <w:szCs w:val="24"/>
                        </w:rPr>
                        <w:t>In terms of the broader tax environment, barriers to capital investment remain a key challenge for small business. Ideally, the tax system should be designed to reduce disincentives for investing in both physical capital and technological innovation. It should also reflect the importance of human capital, by helping new businesses to take on employees, and established businesses to expand their workforce.</w:t>
                      </w:r>
                    </w:p>
                    <w:p w14:paraId="6A5C98D9" w14:textId="77777777" w:rsidR="00F711DF" w:rsidRPr="00296283" w:rsidRDefault="00F711DF" w:rsidP="00296283">
                      <w:pPr>
                        <w:rPr>
                          <w:sz w:val="24"/>
                          <w:szCs w:val="24"/>
                        </w:rPr>
                      </w:pPr>
                    </w:p>
                  </w:txbxContent>
                </v:textbox>
                <w10:anchorlock/>
              </v:rect>
            </w:pict>
          </mc:Fallback>
        </mc:AlternateContent>
      </w:r>
      <w:r w:rsidRPr="00BE3B72">
        <w:rPr>
          <w:noProof/>
          <w:color w:val="002060"/>
          <w:sz w:val="28"/>
          <w:szCs w:val="32"/>
        </w:rPr>
        <mc:AlternateContent>
          <mc:Choice Requires="wps">
            <w:drawing>
              <wp:inline distT="0" distB="0" distL="0" distR="0" wp14:anchorId="6A5C98A2" wp14:editId="2C6A04A2">
                <wp:extent cx="6087600" cy="3019425"/>
                <wp:effectExtent l="95250" t="95250" r="104140" b="104775"/>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87600" cy="3019425"/>
                        </a:xfrm>
                        <a:prstGeom prst="rect">
                          <a:avLst/>
                        </a:prstGeom>
                        <a:solidFill>
                          <a:schemeClr val="bg1"/>
                        </a:solidFill>
                        <a:ln w="19050">
                          <a:noFill/>
                          <a:miter lim="800000"/>
                          <a:headEnd/>
                          <a:tailEnd/>
                        </a:ln>
                        <a:effectLst>
                          <a:outerShdw blurRad="63500" sx="101000" sy="101000" algn="ctr" rotWithShape="0">
                            <a:prstClr val="black">
                              <a:alpha val="40000"/>
                            </a:prstClr>
                          </a:outerShdw>
                        </a:effectLst>
                      </wps:spPr>
                      <wps:txbx>
                        <w:txbxContent>
                          <w:p w14:paraId="6A5C98DA" w14:textId="77777777" w:rsidR="00F711DF" w:rsidRPr="00171690" w:rsidRDefault="00F711DF" w:rsidP="0080160B">
                            <w:pPr>
                              <w:pStyle w:val="ListParagraph"/>
                              <w:numPr>
                                <w:ilvl w:val="0"/>
                                <w:numId w:val="25"/>
                              </w:numPr>
                              <w:spacing w:after="240"/>
                              <w:ind w:left="714" w:hanging="357"/>
                              <w:rPr>
                                <w:b/>
                                <w:color w:val="002060"/>
                                <w:sz w:val="32"/>
                                <w:szCs w:val="24"/>
                              </w:rPr>
                            </w:pPr>
                            <w:r>
                              <w:rPr>
                                <w:b/>
                                <w:color w:val="002060"/>
                                <w:sz w:val="28"/>
                              </w:rPr>
                              <w:t xml:space="preserve">Concessions should </w:t>
                            </w:r>
                            <w:r w:rsidRPr="00171690">
                              <w:rPr>
                                <w:b/>
                                <w:color w:val="002060"/>
                                <w:sz w:val="28"/>
                              </w:rPr>
                              <w:t>be targeted and affordable</w:t>
                            </w:r>
                          </w:p>
                          <w:p w14:paraId="6A5C98DB" w14:textId="77777777" w:rsidR="00F711DF" w:rsidRPr="00171690" w:rsidRDefault="00F711DF" w:rsidP="00265506">
                            <w:pPr>
                              <w:pStyle w:val="ListParagraph"/>
                              <w:spacing w:after="120"/>
                              <w:rPr>
                                <w:sz w:val="24"/>
                                <w:szCs w:val="24"/>
                              </w:rPr>
                            </w:pPr>
                            <w:r w:rsidRPr="00171690">
                              <w:rPr>
                                <w:sz w:val="24"/>
                                <w:szCs w:val="24"/>
                              </w:rPr>
                              <w:t>Tax concessions involve a significant commitment of public funds and the community expects that they will be administered responsibly, be enjoyed only by their intended recipients, and go only as far as necessary for them to meet their policy objectives.</w:t>
                            </w:r>
                          </w:p>
                          <w:p w14:paraId="6A5C98DC" w14:textId="77777777" w:rsidR="00F711DF" w:rsidRDefault="00F711DF" w:rsidP="0080160B">
                            <w:pPr>
                              <w:pStyle w:val="ListParagraph"/>
                              <w:spacing w:after="120"/>
                              <w:rPr>
                                <w:sz w:val="24"/>
                                <w:szCs w:val="24"/>
                              </w:rPr>
                            </w:pPr>
                            <w:r>
                              <w:rPr>
                                <w:sz w:val="24"/>
                                <w:szCs w:val="24"/>
                              </w:rPr>
                              <w:t>C</w:t>
                            </w:r>
                            <w:r w:rsidRPr="00171690">
                              <w:rPr>
                                <w:sz w:val="24"/>
                                <w:szCs w:val="24"/>
                              </w:rPr>
                              <w:t xml:space="preserve">oncessions should be </w:t>
                            </w:r>
                            <w:r>
                              <w:rPr>
                                <w:sz w:val="24"/>
                                <w:szCs w:val="24"/>
                              </w:rPr>
                              <w:t xml:space="preserve">monitored with a view to </w:t>
                            </w:r>
                            <w:r w:rsidRPr="00171690">
                              <w:rPr>
                                <w:sz w:val="24"/>
                                <w:szCs w:val="24"/>
                              </w:rPr>
                              <w:t>identifying situations where concessions are being exploi</w:t>
                            </w:r>
                            <w:r>
                              <w:rPr>
                                <w:sz w:val="24"/>
                                <w:szCs w:val="24"/>
                              </w:rPr>
                              <w:t>ted, are more generous than they</w:t>
                            </w:r>
                            <w:r w:rsidRPr="00171690">
                              <w:rPr>
                                <w:sz w:val="24"/>
                                <w:szCs w:val="24"/>
                              </w:rPr>
                              <w:t xml:space="preserve"> need to be, or are otherwise not producing the desired policy outcome</w:t>
                            </w:r>
                            <w:r>
                              <w:rPr>
                                <w:sz w:val="24"/>
                                <w:szCs w:val="24"/>
                              </w:rPr>
                              <w:t xml:space="preserve"> originally intended</w:t>
                            </w:r>
                            <w:r w:rsidRPr="00171690">
                              <w:rPr>
                                <w:sz w:val="24"/>
                                <w:szCs w:val="24"/>
                              </w:rPr>
                              <w:t>.</w:t>
                            </w:r>
                          </w:p>
                          <w:p w14:paraId="6A5C98DD" w14:textId="77777777" w:rsidR="00F711DF" w:rsidRPr="007A0B5E" w:rsidRDefault="00F711DF">
                            <w:pPr>
                              <w:pStyle w:val="ListParagraph"/>
                              <w:spacing w:after="120"/>
                            </w:pPr>
                            <w:r>
                              <w:rPr>
                                <w:sz w:val="24"/>
                                <w:szCs w:val="24"/>
                              </w:rPr>
                              <w:t>R</w:t>
                            </w:r>
                            <w:r w:rsidRPr="00171690">
                              <w:rPr>
                                <w:sz w:val="24"/>
                                <w:szCs w:val="24"/>
                              </w:rPr>
                              <w:t xml:space="preserve">evenue savings </w:t>
                            </w:r>
                            <w:r>
                              <w:rPr>
                                <w:sz w:val="24"/>
                                <w:szCs w:val="24"/>
                              </w:rPr>
                              <w:t xml:space="preserve">generated by better targeting concessions </w:t>
                            </w:r>
                            <w:r w:rsidRPr="00171690">
                              <w:rPr>
                                <w:sz w:val="24"/>
                                <w:szCs w:val="24"/>
                              </w:rPr>
                              <w:t xml:space="preserve">can be redeployed in ways that will provide more meaningful assistance to </w:t>
                            </w:r>
                            <w:r>
                              <w:rPr>
                                <w:sz w:val="24"/>
                                <w:szCs w:val="24"/>
                              </w:rPr>
                              <w:t xml:space="preserve">small </w:t>
                            </w:r>
                            <w:r w:rsidRPr="00171690">
                              <w:rPr>
                                <w:sz w:val="24"/>
                                <w:szCs w:val="24"/>
                              </w:rPr>
                              <w:t>business.</w:t>
                            </w:r>
                            <w:r>
                              <w:rPr>
                                <w:sz w:val="24"/>
                                <w:szCs w:val="24"/>
                              </w:rPr>
                              <w:t xml:space="preserve"> This will also help to ensure that the measures do not increase complexity or introduce distortions that are inconsistent with broader policy objectives.</w:t>
                            </w:r>
                          </w:p>
                        </w:txbxContent>
                      </wps:txbx>
                      <wps:bodyPr rot="0" vert="horz" wrap="square" lIns="0" tIns="0" rIns="226800" bIns="0" anchor="ctr" anchorCtr="0">
                        <a:noAutofit/>
                      </wps:bodyPr>
                    </wps:wsp>
                  </a:graphicData>
                </a:graphic>
              </wp:inline>
            </w:drawing>
          </mc:Choice>
          <mc:Fallback>
            <w:pict>
              <v:rect id="_x0000_s1030" style="width:479.35pt;height:237.7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" fillcolor="white [3212]" stroked="f" strokeweight="1.5pt">
                <v:shadow on="t" type="perspective" color="black" opacity="26214f" offset="0,0" matrix="66191f,,,66191f"/>
                <v:textbox inset="0,0,6.3mm,0">
                  <w:txbxContent>
                    <w:p w14:paraId="6A5C98DA" w14:textId="77777777" w:rsidR="00F711DF" w:rsidRPr="00171690" w:rsidRDefault="00F711DF" w:rsidP="0080160B">
                      <w:pPr>
                        <w:pStyle w:val="ListParagraph"/>
                        <w:numPr>
                          <w:ilvl w:val="0"/>
                          <w:numId w:val="25"/>
                        </w:numPr>
                        <w:spacing w:after="240"/>
                        <w:ind w:left="714" w:hanging="357"/>
                        <w:rPr>
                          <w:b/>
                          <w:color w:val="002060"/>
                          <w:sz w:val="32"/>
                          <w:szCs w:val="24"/>
                        </w:rPr>
                      </w:pPr>
                      <w:r>
                        <w:rPr>
                          <w:b/>
                          <w:color w:val="002060"/>
                          <w:sz w:val="28"/>
                        </w:rPr>
                        <w:t xml:space="preserve">Concessions should </w:t>
                      </w:r>
                      <w:r w:rsidRPr="00171690">
                        <w:rPr>
                          <w:b/>
                          <w:color w:val="002060"/>
                          <w:sz w:val="28"/>
                        </w:rPr>
                        <w:t>be targeted and affordable</w:t>
                      </w:r>
                    </w:p>
                    <w:p w14:paraId="6A5C98DB" w14:textId="77777777" w:rsidR="00F711DF" w:rsidRPr="00171690" w:rsidRDefault="00F711DF" w:rsidP="00265506">
                      <w:pPr>
                        <w:pStyle w:val="ListParagraph"/>
                        <w:spacing w:after="120"/>
                        <w:rPr>
                          <w:sz w:val="24"/>
                          <w:szCs w:val="24"/>
                        </w:rPr>
                      </w:pPr>
                      <w:r w:rsidRPr="00171690">
                        <w:rPr>
                          <w:sz w:val="24"/>
                          <w:szCs w:val="24"/>
                        </w:rPr>
                        <w:t>Tax concessions involve a significant commitment of public funds and the community expects that they will be administered responsibly, be enjoyed only by their intended recipients, and go only as far as necessary for them to meet their policy objectives.</w:t>
                      </w:r>
                    </w:p>
                    <w:p w14:paraId="6A5C98DC" w14:textId="77777777" w:rsidR="00F711DF" w:rsidRDefault="00F711DF" w:rsidP="0080160B">
                      <w:pPr>
                        <w:pStyle w:val="ListParagraph"/>
                        <w:spacing w:after="120"/>
                        <w:rPr>
                          <w:sz w:val="24"/>
                          <w:szCs w:val="24"/>
                        </w:rPr>
                      </w:pPr>
                      <w:r>
                        <w:rPr>
                          <w:sz w:val="24"/>
                          <w:szCs w:val="24"/>
                        </w:rPr>
                        <w:t>C</w:t>
                      </w:r>
                      <w:r w:rsidRPr="00171690">
                        <w:rPr>
                          <w:sz w:val="24"/>
                          <w:szCs w:val="24"/>
                        </w:rPr>
                        <w:t xml:space="preserve">oncessions should be </w:t>
                      </w:r>
                      <w:r>
                        <w:rPr>
                          <w:sz w:val="24"/>
                          <w:szCs w:val="24"/>
                        </w:rPr>
                        <w:t xml:space="preserve">monitored with a view to </w:t>
                      </w:r>
                      <w:r w:rsidRPr="00171690">
                        <w:rPr>
                          <w:sz w:val="24"/>
                          <w:szCs w:val="24"/>
                        </w:rPr>
                        <w:t>identifying situations where concessions are being exploi</w:t>
                      </w:r>
                      <w:r>
                        <w:rPr>
                          <w:sz w:val="24"/>
                          <w:szCs w:val="24"/>
                        </w:rPr>
                        <w:t>ted, are more generous than they</w:t>
                      </w:r>
                      <w:r w:rsidRPr="00171690">
                        <w:rPr>
                          <w:sz w:val="24"/>
                          <w:szCs w:val="24"/>
                        </w:rPr>
                        <w:t xml:space="preserve"> need to be, or are otherwise not producing the desired policy outcome</w:t>
                      </w:r>
                      <w:r>
                        <w:rPr>
                          <w:sz w:val="24"/>
                          <w:szCs w:val="24"/>
                        </w:rPr>
                        <w:t xml:space="preserve"> originally intended</w:t>
                      </w:r>
                      <w:r w:rsidRPr="00171690">
                        <w:rPr>
                          <w:sz w:val="24"/>
                          <w:szCs w:val="24"/>
                        </w:rPr>
                        <w:t>.</w:t>
                      </w:r>
                    </w:p>
                    <w:p w14:paraId="6A5C98DD" w14:textId="77777777" w:rsidR="00F711DF" w:rsidRPr="007A0B5E" w:rsidRDefault="00F711DF">
                      <w:pPr>
                        <w:pStyle w:val="ListParagraph"/>
                        <w:spacing w:after="120"/>
                      </w:pPr>
                      <w:r>
                        <w:rPr>
                          <w:sz w:val="24"/>
                          <w:szCs w:val="24"/>
                        </w:rPr>
                        <w:t>R</w:t>
                      </w:r>
                      <w:r w:rsidRPr="00171690">
                        <w:rPr>
                          <w:sz w:val="24"/>
                          <w:szCs w:val="24"/>
                        </w:rPr>
                        <w:t xml:space="preserve">evenue savings </w:t>
                      </w:r>
                      <w:r>
                        <w:rPr>
                          <w:sz w:val="24"/>
                          <w:szCs w:val="24"/>
                        </w:rPr>
                        <w:t xml:space="preserve">generated by better targeting concessions </w:t>
                      </w:r>
                      <w:r w:rsidRPr="00171690">
                        <w:rPr>
                          <w:sz w:val="24"/>
                          <w:szCs w:val="24"/>
                        </w:rPr>
                        <w:t xml:space="preserve">can be redeployed in ways that will provide more meaningful assistance to </w:t>
                      </w:r>
                      <w:r>
                        <w:rPr>
                          <w:sz w:val="24"/>
                          <w:szCs w:val="24"/>
                        </w:rPr>
                        <w:t xml:space="preserve">small </w:t>
                      </w:r>
                      <w:r w:rsidRPr="00171690">
                        <w:rPr>
                          <w:sz w:val="24"/>
                          <w:szCs w:val="24"/>
                        </w:rPr>
                        <w:t>business.</w:t>
                      </w:r>
                      <w:r>
                        <w:rPr>
                          <w:sz w:val="24"/>
                          <w:szCs w:val="24"/>
                        </w:rPr>
                        <w:t xml:space="preserve"> This will also help to ensure that the measures do not increase complexity or introduce distortions that are inconsistent with broader policy objectives.</w:t>
                      </w:r>
                    </w:p>
                  </w:txbxContent>
                </v:textbox>
                <w10:anchorlock/>
              </v:rect>
            </w:pict>
          </mc:Fallback>
        </mc:AlternateContent>
      </w:r>
    </w:p>
    <w:p w14:paraId="6A5C9832" w14:textId="77777777" w:rsidR="008B315F" w:rsidRDefault="008B315F">
      <w:pPr>
        <w:spacing w:before="0" w:after="160" w:line="259" w:lineRule="auto"/>
      </w:pPr>
      <w:r w:rsidRPr="00BE3B72">
        <w:rPr>
          <w:b/>
          <w:bCs/>
          <w:noProof/>
          <w:color w:val="002060"/>
          <w:sz w:val="28"/>
          <w:szCs w:val="32"/>
        </w:rPr>
        <w:lastRenderedPageBreak/>
        <mc:AlternateContent>
          <mc:Choice Requires="wps">
            <w:drawing>
              <wp:inline distT="0" distB="0" distL="0" distR="0" wp14:anchorId="6A5C98A4" wp14:editId="60BECE6A">
                <wp:extent cx="6087600" cy="4118400"/>
                <wp:effectExtent l="95250" t="95250" r="104140" b="92075"/>
                <wp:docPr id="67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87600" cy="4118400"/>
                        </a:xfrm>
                        <a:prstGeom prst="rect">
                          <a:avLst/>
                        </a:prstGeom>
                        <a:solidFill>
                          <a:schemeClr val="bg1"/>
                        </a:solidFill>
                        <a:ln w="19050">
                          <a:noFill/>
                          <a:miter lim="800000"/>
                          <a:headEnd/>
                          <a:tailEnd/>
                        </a:ln>
                        <a:effectLst>
                          <a:outerShdw blurRad="63500" sx="101000" sy="101000" algn="ctr" rotWithShape="0">
                            <a:prstClr val="black">
                              <a:alpha val="40000"/>
                            </a:prstClr>
                          </a:outerShdw>
                        </a:effectLst>
                      </wps:spPr>
                      <wps:txbx>
                        <w:txbxContent>
                          <w:p w14:paraId="6A5C98DE" w14:textId="77777777" w:rsidR="00F711DF" w:rsidRPr="00296283" w:rsidRDefault="00F711DF" w:rsidP="00171690">
                            <w:pPr>
                              <w:pStyle w:val="ListParagraph"/>
                              <w:numPr>
                                <w:ilvl w:val="0"/>
                                <w:numId w:val="25"/>
                              </w:numPr>
                              <w:spacing w:after="240"/>
                              <w:ind w:left="714" w:hanging="357"/>
                              <w:rPr>
                                <w:b/>
                                <w:color w:val="002060"/>
                                <w:sz w:val="32"/>
                                <w:szCs w:val="24"/>
                              </w:rPr>
                            </w:pPr>
                            <w:r>
                              <w:rPr>
                                <w:b/>
                                <w:color w:val="002060"/>
                                <w:sz w:val="28"/>
                              </w:rPr>
                              <w:t>Concessions should not incentivise complex structuring</w:t>
                            </w:r>
                          </w:p>
                          <w:p w14:paraId="6A5C98DF" w14:textId="46738422" w:rsidR="00F711DF" w:rsidRPr="00537806" w:rsidRDefault="00F711DF" w:rsidP="00537806">
                            <w:pPr>
                              <w:pStyle w:val="ListParagraph"/>
                              <w:spacing w:after="240"/>
                              <w:ind w:left="714"/>
                              <w:rPr>
                                <w:sz w:val="24"/>
                                <w:szCs w:val="24"/>
                              </w:rPr>
                            </w:pPr>
                            <w:r w:rsidRPr="00537806">
                              <w:rPr>
                                <w:sz w:val="24"/>
                                <w:szCs w:val="24"/>
                              </w:rPr>
                              <w:t xml:space="preserve">Tax outcomes for business income in Australia are highly dependent on the business structure. The choice to operate a business as a sole trader, in partnership or through a trust or company involves the consideration of a myriad of commercial and tax trade-offs. The Board has noted </w:t>
                            </w:r>
                            <w:r>
                              <w:rPr>
                                <w:sz w:val="24"/>
                                <w:szCs w:val="24"/>
                              </w:rPr>
                              <w:t>that</w:t>
                            </w:r>
                            <w:r w:rsidRPr="00537806">
                              <w:rPr>
                                <w:sz w:val="24"/>
                                <w:szCs w:val="24"/>
                              </w:rPr>
                              <w:t xml:space="preserve"> private businesses increasingly </w:t>
                            </w:r>
                            <w:r>
                              <w:rPr>
                                <w:sz w:val="24"/>
                                <w:szCs w:val="24"/>
                              </w:rPr>
                              <w:t xml:space="preserve">adopt </w:t>
                            </w:r>
                            <w:r w:rsidRPr="00537806">
                              <w:rPr>
                                <w:sz w:val="24"/>
                                <w:szCs w:val="24"/>
                              </w:rPr>
                              <w:t>complex structures designed to overcome these trade-offs, combining the advantages of different entity types whilst minimising any downsides to their business</w:t>
                            </w:r>
                            <w:r>
                              <w:rPr>
                                <w:sz w:val="24"/>
                                <w:szCs w:val="24"/>
                              </w:rPr>
                              <w:t xml:space="preserve"> operations</w:t>
                            </w:r>
                            <w:r w:rsidRPr="00537806">
                              <w:rPr>
                                <w:sz w:val="24"/>
                                <w:szCs w:val="24"/>
                              </w:rPr>
                              <w:t>.</w:t>
                            </w:r>
                          </w:p>
                          <w:p w14:paraId="6A5C98E0" w14:textId="77777777" w:rsidR="00F711DF" w:rsidRPr="00537806" w:rsidRDefault="00F711DF" w:rsidP="00537806">
                            <w:pPr>
                              <w:pStyle w:val="ListParagraph"/>
                              <w:spacing w:after="240"/>
                              <w:ind w:left="714"/>
                              <w:rPr>
                                <w:sz w:val="24"/>
                                <w:szCs w:val="24"/>
                              </w:rPr>
                            </w:pPr>
                            <w:r w:rsidRPr="00537806">
                              <w:rPr>
                                <w:sz w:val="24"/>
                                <w:szCs w:val="24"/>
                              </w:rPr>
                              <w:t>The incentives associated with eligibility crite</w:t>
                            </w:r>
                            <w:r>
                              <w:rPr>
                                <w:sz w:val="24"/>
                                <w:szCs w:val="24"/>
                              </w:rPr>
                              <w:t>ria for tax concessions can</w:t>
                            </w:r>
                            <w:r w:rsidRPr="00537806">
                              <w:rPr>
                                <w:sz w:val="24"/>
                                <w:szCs w:val="24"/>
                              </w:rPr>
                              <w:t xml:space="preserve"> be a driver of complex business structuring. Other tax considerations influencing business structuring include the tax rate on earnings, flexibility of distributions, and the tax cost of reinvesting profits as working capital.  Such considerations must be weighed up against personal and family considerations, including asset protection and succession planning.</w:t>
                            </w:r>
                          </w:p>
                          <w:p w14:paraId="6A5C98E1" w14:textId="77964453" w:rsidR="00F711DF" w:rsidRDefault="00F711DF" w:rsidP="00537806">
                            <w:pPr>
                              <w:ind w:left="714"/>
                            </w:pPr>
                            <w:r w:rsidRPr="00537806">
                              <w:rPr>
                                <w:sz w:val="24"/>
                                <w:szCs w:val="24"/>
                              </w:rPr>
                              <w:t>Tax concessions should be designed with the aim of reducing incentives for complex structuring</w:t>
                            </w:r>
                            <w:r>
                              <w:rPr>
                                <w:sz w:val="24"/>
                                <w:szCs w:val="24"/>
                              </w:rPr>
                              <w:t>.</w:t>
                            </w:r>
                          </w:p>
                        </w:txbxContent>
                      </wps:txbx>
                      <wps:bodyPr rot="0" vert="horz" wrap="square" lIns="0" tIns="0" rIns="226800" bIns="0" anchor="ctr" anchorCtr="0">
                        <a:noAutofit/>
                      </wps:bodyPr>
                    </wps:wsp>
                  </a:graphicData>
                </a:graphic>
              </wp:inline>
            </w:drawing>
          </mc:Choice>
          <mc:Fallback>
            <w:pict>
              <v:rect id="_x0000_s1031" style="width:479.35pt;height:324.3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" fillcolor="white [3212]" stroked="f" strokeweight="1.5pt">
                <v:shadow on="t" type="perspective" color="black" opacity="26214f" offset="0,0" matrix="66191f,,,66191f"/>
                <v:textbox inset="0,0,6.3mm,0">
                  <w:txbxContent>
                    <w:p w14:paraId="6A5C98DE" w14:textId="77777777" w:rsidR="00F711DF" w:rsidRPr="00296283" w:rsidRDefault="00F711DF" w:rsidP="00171690">
                      <w:pPr>
                        <w:pStyle w:val="ListParagraph"/>
                        <w:numPr>
                          <w:ilvl w:val="0"/>
                          <w:numId w:val="25"/>
                        </w:numPr>
                        <w:spacing w:after="240"/>
                        <w:ind w:left="714" w:hanging="357"/>
                        <w:rPr>
                          <w:b/>
                          <w:color w:val="002060"/>
                          <w:sz w:val="32"/>
                          <w:szCs w:val="24"/>
                        </w:rPr>
                      </w:pPr>
                      <w:r>
                        <w:rPr>
                          <w:b/>
                          <w:color w:val="002060"/>
                          <w:sz w:val="28"/>
                        </w:rPr>
                        <w:t>Concessions should not incentivise complex structuring</w:t>
                      </w:r>
                    </w:p>
                    <w:p w14:paraId="6A5C98DF" w14:textId="46738422" w:rsidR="00F711DF" w:rsidRPr="00537806" w:rsidRDefault="00F711DF" w:rsidP="00537806">
                      <w:pPr>
                        <w:pStyle w:val="ListParagraph"/>
                        <w:spacing w:after="240"/>
                        <w:ind w:left="714"/>
                        <w:rPr>
                          <w:sz w:val="24"/>
                          <w:szCs w:val="24"/>
                        </w:rPr>
                      </w:pPr>
                      <w:r w:rsidRPr="00537806">
                        <w:rPr>
                          <w:sz w:val="24"/>
                          <w:szCs w:val="24"/>
                        </w:rPr>
                        <w:t xml:space="preserve">Tax outcomes for business income in Australia are highly dependent on the business structure. The choice to operate a business as a sole trader, in partnership or through a trust or company involves the consideration of a myriad of commercial and tax trade-offs. The Board has noted </w:t>
                      </w:r>
                      <w:r>
                        <w:rPr>
                          <w:sz w:val="24"/>
                          <w:szCs w:val="24"/>
                        </w:rPr>
                        <w:t>that</w:t>
                      </w:r>
                      <w:r w:rsidRPr="00537806">
                        <w:rPr>
                          <w:sz w:val="24"/>
                          <w:szCs w:val="24"/>
                        </w:rPr>
                        <w:t xml:space="preserve"> private businesses increasingly </w:t>
                      </w:r>
                      <w:r>
                        <w:rPr>
                          <w:sz w:val="24"/>
                          <w:szCs w:val="24"/>
                        </w:rPr>
                        <w:t xml:space="preserve">adopt </w:t>
                      </w:r>
                      <w:r w:rsidRPr="00537806">
                        <w:rPr>
                          <w:sz w:val="24"/>
                          <w:szCs w:val="24"/>
                        </w:rPr>
                        <w:t>complex structures designed to overcome these trade-offs, combining the advantages of different entity types whilst minimising any downsides to their business</w:t>
                      </w:r>
                      <w:r>
                        <w:rPr>
                          <w:sz w:val="24"/>
                          <w:szCs w:val="24"/>
                        </w:rPr>
                        <w:t xml:space="preserve"> operations</w:t>
                      </w:r>
                      <w:r w:rsidRPr="00537806">
                        <w:rPr>
                          <w:sz w:val="24"/>
                          <w:szCs w:val="24"/>
                        </w:rPr>
                        <w:t>.</w:t>
                      </w:r>
                    </w:p>
                    <w:p w14:paraId="6A5C98E0" w14:textId="77777777" w:rsidR="00F711DF" w:rsidRPr="00537806" w:rsidRDefault="00F711DF" w:rsidP="00537806">
                      <w:pPr>
                        <w:pStyle w:val="ListParagraph"/>
                        <w:spacing w:after="240"/>
                        <w:ind w:left="714"/>
                        <w:rPr>
                          <w:sz w:val="24"/>
                          <w:szCs w:val="24"/>
                        </w:rPr>
                      </w:pPr>
                      <w:r w:rsidRPr="00537806">
                        <w:rPr>
                          <w:sz w:val="24"/>
                          <w:szCs w:val="24"/>
                        </w:rPr>
                        <w:t>The incentives associated with eligibility crite</w:t>
                      </w:r>
                      <w:r>
                        <w:rPr>
                          <w:sz w:val="24"/>
                          <w:szCs w:val="24"/>
                        </w:rPr>
                        <w:t>ria for tax concessions can</w:t>
                      </w:r>
                      <w:r w:rsidRPr="00537806">
                        <w:rPr>
                          <w:sz w:val="24"/>
                          <w:szCs w:val="24"/>
                        </w:rPr>
                        <w:t xml:space="preserve"> be a driver of complex business structuring. Other tax considerations influencing business structuring include the tax rate on earnings, flexibility of distributions, and the tax cost of reinvesting profits as working capital.  Such considerations must be weighed up against personal and family considerations, including asset protection and succession planning.</w:t>
                      </w:r>
                    </w:p>
                    <w:p w14:paraId="6A5C98E1" w14:textId="77964453" w:rsidR="00F711DF" w:rsidRDefault="00F711DF" w:rsidP="00537806">
                      <w:pPr>
                        <w:ind w:left="714"/>
                      </w:pPr>
                      <w:r w:rsidRPr="00537806">
                        <w:rPr>
                          <w:sz w:val="24"/>
                          <w:szCs w:val="24"/>
                        </w:rPr>
                        <w:t>Tax concessions should be designed with the aim of reducing incentives for complex structuring</w:t>
                      </w:r>
                      <w:r>
                        <w:rPr>
                          <w:sz w:val="24"/>
                          <w:szCs w:val="24"/>
                        </w:rPr>
                        <w:t>.</w:t>
                      </w:r>
                    </w:p>
                  </w:txbxContent>
                </v:textbox>
                <w10:anchorlock/>
              </v:rect>
            </w:pict>
          </mc:Fallback>
        </mc:AlternateContent>
      </w:r>
      <w:r>
        <w:br w:type="page"/>
      </w:r>
    </w:p>
    <w:p w14:paraId="6A5C9833" w14:textId="77777777" w:rsidR="00043A4B" w:rsidRDefault="00D16EA8" w:rsidP="00043A4B">
      <w:pPr>
        <w:pStyle w:val="Heading1"/>
      </w:pPr>
      <w:bookmarkStart w:id="10" w:name="_Toc510006855"/>
      <w:r>
        <w:lastRenderedPageBreak/>
        <w:t>Our goals</w:t>
      </w:r>
      <w:bookmarkEnd w:id="10"/>
    </w:p>
    <w:p w14:paraId="6A5C9834" w14:textId="171669DD" w:rsidR="00A65719" w:rsidRDefault="00362EAB" w:rsidP="00296283">
      <w:pPr>
        <w:pStyle w:val="Introductionparagraph"/>
      </w:pPr>
      <w:r>
        <w:t>This</w:t>
      </w:r>
      <w:r w:rsidR="00F524A5">
        <w:t xml:space="preserve"> is a</w:t>
      </w:r>
      <w:r>
        <w:t xml:space="preserve"> Board-initiated review</w:t>
      </w:r>
      <w:r w:rsidR="00F524A5">
        <w:t>.</w:t>
      </w:r>
      <w:r>
        <w:t xml:space="preserve"> </w:t>
      </w:r>
      <w:r w:rsidR="00A65719" w:rsidRPr="00A65719">
        <w:t xml:space="preserve">Set out below is the Board’s objective in undertaking this </w:t>
      </w:r>
      <w:r w:rsidR="00F524A5">
        <w:t>review</w:t>
      </w:r>
      <w:r w:rsidR="00A65719" w:rsidRPr="00A65719">
        <w:t>, the scope of work</w:t>
      </w:r>
      <w:r w:rsidR="008B4BE8">
        <w:t>,</w:t>
      </w:r>
      <w:r w:rsidR="00A65719" w:rsidRPr="00A65719">
        <w:t xml:space="preserve"> and the timing of </w:t>
      </w:r>
      <w:r w:rsidR="008B4BE8">
        <w:t>deliverables</w:t>
      </w:r>
      <w:r w:rsidR="00A65719" w:rsidRPr="00A65719">
        <w:t>.</w:t>
      </w:r>
    </w:p>
    <w:p w14:paraId="6A5C9835" w14:textId="77777777" w:rsidR="004714F8" w:rsidRPr="003A6050" w:rsidRDefault="004714F8" w:rsidP="003A6050">
      <w:pPr>
        <w:rPr>
          <w:color w:val="C00000"/>
          <w:sz w:val="36"/>
          <w:szCs w:val="36"/>
        </w:rPr>
      </w:pPr>
      <w:r w:rsidRPr="003A6050">
        <w:rPr>
          <w:color w:val="C00000"/>
          <w:sz w:val="36"/>
          <w:szCs w:val="36"/>
        </w:rPr>
        <w:t>Objectives</w:t>
      </w:r>
    </w:p>
    <w:p w14:paraId="6A5C9836" w14:textId="77777777" w:rsidR="001A3D44" w:rsidRDefault="00082082" w:rsidP="00296283">
      <w:pPr>
        <w:pStyle w:val="OutlineNumbered1"/>
      </w:pPr>
      <w:r w:rsidRPr="004714F8">
        <w:t>The Board will make recommendations on how to efficiently target tax relief to small business, consistent with the functions set out in the Board’s Charter</w:t>
      </w:r>
      <w:r w:rsidR="001A3D44">
        <w:t>, including:</w:t>
      </w:r>
    </w:p>
    <w:p w14:paraId="6A5C9837" w14:textId="77777777" w:rsidR="001A3D44" w:rsidRDefault="001A3D44" w:rsidP="00296283">
      <w:pPr>
        <w:pStyle w:val="OutlineNumbered2"/>
        <w:numPr>
          <w:ilvl w:val="0"/>
          <w:numId w:val="34"/>
        </w:numPr>
      </w:pPr>
      <w:r>
        <w:t>To advise on the quality and effectiveness of tax legislation; and</w:t>
      </w:r>
    </w:p>
    <w:p w14:paraId="6A5C9838" w14:textId="77777777" w:rsidR="0024122D" w:rsidRPr="004714F8" w:rsidRDefault="00082082" w:rsidP="00296283">
      <w:pPr>
        <w:pStyle w:val="OutlineNumbered2"/>
        <w:numPr>
          <w:ilvl w:val="0"/>
          <w:numId w:val="34"/>
        </w:numPr>
      </w:pPr>
      <w:r w:rsidRPr="004714F8">
        <w:t>to advise on improvements to the general integrity and functioning of the taxation system</w:t>
      </w:r>
      <w:r w:rsidR="001A3D44">
        <w:t xml:space="preserve">. </w:t>
      </w:r>
    </w:p>
    <w:p w14:paraId="6A5C9839" w14:textId="77777777" w:rsidR="0024122D" w:rsidRPr="004714F8" w:rsidRDefault="00082082" w:rsidP="00296283">
      <w:pPr>
        <w:pStyle w:val="OutlineNumbered1"/>
      </w:pPr>
      <w:r w:rsidRPr="004714F8">
        <w:t>The Board should take account of the revenue implications of various options and, where appropriate, suggest approaches that minimise any revenue cost.</w:t>
      </w:r>
    </w:p>
    <w:p w14:paraId="6A5C983A" w14:textId="77777777" w:rsidR="004714F8" w:rsidRPr="003A6050" w:rsidRDefault="004714F8" w:rsidP="003A6050">
      <w:pPr>
        <w:rPr>
          <w:color w:val="C00000"/>
          <w:sz w:val="36"/>
          <w:szCs w:val="36"/>
        </w:rPr>
      </w:pPr>
      <w:r w:rsidRPr="003A6050">
        <w:rPr>
          <w:color w:val="C00000"/>
          <w:sz w:val="36"/>
          <w:szCs w:val="36"/>
        </w:rPr>
        <w:t>Scope of work</w:t>
      </w:r>
    </w:p>
    <w:p w14:paraId="6A5C983B" w14:textId="77777777" w:rsidR="004714F8" w:rsidRPr="004714F8" w:rsidRDefault="004714F8" w:rsidP="004714F8">
      <w:pPr>
        <w:rPr>
          <w:sz w:val="24"/>
          <w:szCs w:val="24"/>
        </w:rPr>
      </w:pPr>
      <w:r w:rsidRPr="004714F8">
        <w:rPr>
          <w:sz w:val="24"/>
          <w:szCs w:val="24"/>
        </w:rPr>
        <w:t>In undertaking the review, the Board will:</w:t>
      </w:r>
    </w:p>
    <w:p w14:paraId="6A5C983C" w14:textId="1301B3D8" w:rsidR="0024122D" w:rsidRPr="004714F8" w:rsidRDefault="00082082" w:rsidP="009A1CF1">
      <w:pPr>
        <w:pStyle w:val="OutlineNumbered1"/>
        <w:numPr>
          <w:ilvl w:val="0"/>
          <w:numId w:val="36"/>
        </w:numPr>
      </w:pPr>
      <w:r w:rsidRPr="004714F8">
        <w:t>Determine the effectiveness of the current small business tax concessions available to the small business</w:t>
      </w:r>
      <w:r w:rsidR="009A1CF1">
        <w:t xml:space="preserve"> </w:t>
      </w:r>
      <w:r w:rsidRPr="004714F8">
        <w:t>sector</w:t>
      </w:r>
      <w:r w:rsidR="008B4BE8">
        <w:t>.</w:t>
      </w:r>
    </w:p>
    <w:p w14:paraId="6C8AD3C3" w14:textId="20C8876C" w:rsidR="002A0367" w:rsidRDefault="00082082" w:rsidP="002A0367">
      <w:pPr>
        <w:pStyle w:val="OutlineNumbered1"/>
      </w:pPr>
      <w:r w:rsidRPr="004714F8">
        <w:t>Examine whether the current mix of small business tax concessions:</w:t>
      </w:r>
    </w:p>
    <w:p w14:paraId="7904A47A" w14:textId="435D1832" w:rsidR="00A27E9A" w:rsidRDefault="00082082" w:rsidP="00A27E9A">
      <w:pPr>
        <w:pStyle w:val="OutlineNumbered1"/>
        <w:numPr>
          <w:ilvl w:val="0"/>
          <w:numId w:val="50"/>
        </w:numPr>
      </w:pPr>
      <w:r w:rsidRPr="004714F8">
        <w:t>represents the best distribution of current Government expenditure on small business tax concessions; and</w:t>
      </w:r>
    </w:p>
    <w:p w14:paraId="6A5C9840" w14:textId="77777777" w:rsidR="0024122D" w:rsidRPr="004714F8" w:rsidRDefault="00082082" w:rsidP="00A27E9A">
      <w:pPr>
        <w:pStyle w:val="OutlineNumbered1"/>
        <w:numPr>
          <w:ilvl w:val="0"/>
          <w:numId w:val="50"/>
        </w:numPr>
      </w:pPr>
      <w:r w:rsidRPr="004714F8">
        <w:t>are commercially appropriate in the context of the various stages of the small business life-cycle.</w:t>
      </w:r>
    </w:p>
    <w:p w14:paraId="6A5C9841" w14:textId="77777777" w:rsidR="0024122D" w:rsidRPr="004714F8" w:rsidRDefault="00082082" w:rsidP="009A1CF1">
      <w:pPr>
        <w:pStyle w:val="OutlineNumbered1"/>
      </w:pPr>
      <w:r w:rsidRPr="004714F8">
        <w:t xml:space="preserve">Consult the small business community </w:t>
      </w:r>
      <w:r w:rsidR="00D27E8E" w:rsidRPr="004714F8">
        <w:t xml:space="preserve">to gauge </w:t>
      </w:r>
      <w:r w:rsidRPr="004714F8">
        <w:t>views on the current suite of</w:t>
      </w:r>
      <w:r w:rsidR="008B4BE8">
        <w:t xml:space="preserve"> small business</w:t>
      </w:r>
      <w:r w:rsidRPr="004714F8">
        <w:t xml:space="preserve"> tax concessions and gain relevant insights, experience and expertise.</w:t>
      </w:r>
    </w:p>
    <w:p w14:paraId="6A5C9842" w14:textId="77777777" w:rsidR="0024122D" w:rsidRPr="004714F8" w:rsidRDefault="00082082" w:rsidP="009A1CF1">
      <w:pPr>
        <w:pStyle w:val="OutlineNumbered1"/>
      </w:pPr>
      <w:r w:rsidRPr="004714F8">
        <w:t xml:space="preserve">Consider relevant international experience, identifying best practice initiatives which </w:t>
      </w:r>
      <w:r w:rsidR="001A3D44">
        <w:t>may</w:t>
      </w:r>
      <w:r w:rsidR="001A3D44" w:rsidRPr="004714F8">
        <w:t xml:space="preserve"> </w:t>
      </w:r>
      <w:r w:rsidRPr="004714F8">
        <w:t>be applicable to Australia’s tax system.</w:t>
      </w:r>
    </w:p>
    <w:p w14:paraId="6A5C9843" w14:textId="77777777" w:rsidR="004714F8" w:rsidRPr="003A6050" w:rsidRDefault="004714F8" w:rsidP="003A6050">
      <w:pPr>
        <w:rPr>
          <w:color w:val="C00000"/>
          <w:sz w:val="36"/>
          <w:szCs w:val="36"/>
        </w:rPr>
      </w:pPr>
      <w:r w:rsidRPr="003A6050">
        <w:rPr>
          <w:color w:val="C00000"/>
          <w:sz w:val="36"/>
          <w:szCs w:val="36"/>
        </w:rPr>
        <w:t>Timing</w:t>
      </w:r>
    </w:p>
    <w:p w14:paraId="6A5C9844" w14:textId="50F7EDEF" w:rsidR="00B37C6C" w:rsidRDefault="004714F8">
      <w:r w:rsidRPr="004714F8">
        <w:t xml:space="preserve">The Board will provide the Government with a final report </w:t>
      </w:r>
      <w:r w:rsidR="00087A8B">
        <w:t>in October</w:t>
      </w:r>
      <w:r w:rsidRPr="004714F8">
        <w:t xml:space="preserve"> 2018.</w:t>
      </w:r>
    </w:p>
    <w:p w14:paraId="6A5C9845" w14:textId="77777777" w:rsidR="00B37C6C" w:rsidRDefault="00B37C6C">
      <w:pPr>
        <w:spacing w:before="0" w:after="160" w:line="259" w:lineRule="auto"/>
      </w:pPr>
      <w:r>
        <w:br w:type="page"/>
      </w:r>
    </w:p>
    <w:p w14:paraId="6A5C9846" w14:textId="77777777" w:rsidR="00043A4B" w:rsidRDefault="004F1E97" w:rsidP="00043A4B">
      <w:pPr>
        <w:pStyle w:val="Heading1"/>
      </w:pPr>
      <w:bookmarkStart w:id="11" w:name="_Toc510006856"/>
      <w:r>
        <w:lastRenderedPageBreak/>
        <w:t>Consultation questions</w:t>
      </w:r>
      <w:bookmarkEnd w:id="11"/>
    </w:p>
    <w:p w14:paraId="6A5C9847" w14:textId="77777777" w:rsidR="00043A4B" w:rsidRPr="005044AB" w:rsidRDefault="00F05CA4">
      <w:pPr>
        <w:pStyle w:val="Introductionparagraph"/>
      </w:pPr>
      <w:r w:rsidRPr="005044AB">
        <w:t xml:space="preserve">The </w:t>
      </w:r>
      <w:r w:rsidR="005B7E8A" w:rsidRPr="005044AB">
        <w:t xml:space="preserve">Board </w:t>
      </w:r>
      <w:r w:rsidR="004F1E97" w:rsidRPr="005044AB">
        <w:t xml:space="preserve">encourages you to reflect on the </w:t>
      </w:r>
      <w:r w:rsidR="00410EC5">
        <w:t>core</w:t>
      </w:r>
      <w:r w:rsidR="00410EC5" w:rsidRPr="005044AB">
        <w:t xml:space="preserve"> </w:t>
      </w:r>
      <w:r w:rsidR="004F1E97" w:rsidRPr="005044AB">
        <w:t xml:space="preserve">consultation questions to assist you </w:t>
      </w:r>
      <w:r w:rsidR="001A3D44">
        <w:t>when</w:t>
      </w:r>
      <w:r w:rsidR="004F1E97" w:rsidRPr="005044AB">
        <w:t xml:space="preserve"> formulating your input in the review.</w:t>
      </w:r>
      <w:r w:rsidR="00410EC5">
        <w:t xml:space="preserve"> Following these are more detailed questions about the overall design of the tax system relating to small business.</w:t>
      </w:r>
      <w:r w:rsidR="004F1E97" w:rsidRPr="005044AB">
        <w:t xml:space="preserve"> </w:t>
      </w:r>
      <w:r w:rsidR="007975BB" w:rsidRPr="005044AB">
        <w:t>However, if you believe there are important small business tax issues not covered by the questions, we encourage you to raise them.</w:t>
      </w:r>
    </w:p>
    <w:p w14:paraId="6A5C9848" w14:textId="77777777" w:rsidR="00537806" w:rsidRPr="00410EC5" w:rsidRDefault="00410EC5" w:rsidP="00410EC5">
      <w:pPr>
        <w:pStyle w:val="OutlineNumbered1"/>
        <w:keepLines/>
        <w:numPr>
          <w:ilvl w:val="0"/>
          <w:numId w:val="0"/>
        </w:numPr>
        <w:spacing w:after="200" w:line="276" w:lineRule="auto"/>
        <w:ind w:left="851" w:hanging="851"/>
        <w:rPr>
          <w:color w:val="C00000"/>
          <w:sz w:val="28"/>
          <w:szCs w:val="28"/>
        </w:rPr>
      </w:pPr>
      <w:r w:rsidRPr="00410EC5">
        <w:rPr>
          <w:color w:val="C00000"/>
          <w:sz w:val="28"/>
          <w:szCs w:val="28"/>
        </w:rPr>
        <w:t>Core questions</w:t>
      </w:r>
    </w:p>
    <w:p w14:paraId="6A5C9849" w14:textId="77777777" w:rsidR="00410EC5" w:rsidRPr="00410EC5" w:rsidRDefault="00410EC5" w:rsidP="00410EC5">
      <w:pPr>
        <w:numPr>
          <w:ilvl w:val="0"/>
          <w:numId w:val="29"/>
        </w:numPr>
        <w:spacing w:before="100" w:beforeAutospacing="1" w:after="200"/>
        <w:rPr>
          <w:rFonts w:cs="Calibri"/>
          <w:szCs w:val="22"/>
          <w:lang w:val="en-US" w:eastAsia="en-US"/>
        </w:rPr>
      </w:pPr>
      <w:r w:rsidRPr="00410EC5">
        <w:rPr>
          <w:rFonts w:cs="Calibri"/>
          <w:szCs w:val="22"/>
          <w:lang w:val="en-US" w:eastAsia="en-US"/>
        </w:rPr>
        <w:t>What tax issues are of particular concern for small businesses?</w:t>
      </w:r>
    </w:p>
    <w:p w14:paraId="6A5C984A" w14:textId="77777777" w:rsidR="00410EC5" w:rsidRPr="00410EC5" w:rsidRDefault="00410EC5" w:rsidP="00410EC5">
      <w:pPr>
        <w:numPr>
          <w:ilvl w:val="0"/>
          <w:numId w:val="29"/>
        </w:numPr>
        <w:spacing w:before="100" w:beforeAutospacing="1" w:after="200"/>
        <w:rPr>
          <w:rFonts w:cs="Calibri"/>
          <w:szCs w:val="22"/>
          <w:lang w:val="en-US" w:eastAsia="en-US"/>
        </w:rPr>
      </w:pPr>
      <w:r w:rsidRPr="00410EC5">
        <w:rPr>
          <w:rFonts w:cs="Calibri"/>
          <w:szCs w:val="22"/>
          <w:lang w:val="en-US" w:eastAsia="en-US"/>
        </w:rPr>
        <w:t>What do you regard as the most useful or effective small business tax concessions?</w:t>
      </w:r>
      <w:r>
        <w:rPr>
          <w:rFonts w:cs="Calibri"/>
          <w:szCs w:val="22"/>
          <w:lang w:val="en-US" w:eastAsia="en-US"/>
        </w:rPr>
        <w:t xml:space="preserve"> Why?</w:t>
      </w:r>
    </w:p>
    <w:p w14:paraId="6A5C984B" w14:textId="7D25A9F9" w:rsidR="00410EC5" w:rsidRPr="00410EC5" w:rsidRDefault="00410EC5" w:rsidP="00410EC5">
      <w:pPr>
        <w:numPr>
          <w:ilvl w:val="0"/>
          <w:numId w:val="29"/>
        </w:numPr>
        <w:spacing w:before="100" w:beforeAutospacing="1" w:after="200"/>
        <w:rPr>
          <w:rFonts w:cs="Calibri"/>
          <w:szCs w:val="22"/>
          <w:lang w:val="en-US" w:eastAsia="en-US"/>
        </w:rPr>
      </w:pPr>
      <w:r w:rsidRPr="00410EC5">
        <w:rPr>
          <w:rFonts w:cs="Calibri"/>
          <w:szCs w:val="22"/>
          <w:lang w:val="en-US" w:eastAsia="en-US"/>
        </w:rPr>
        <w:t>What opportunities do you see for improving exist</w:t>
      </w:r>
      <w:r w:rsidR="00733A7C">
        <w:rPr>
          <w:rFonts w:cs="Calibri"/>
          <w:szCs w:val="22"/>
          <w:lang w:val="en-US" w:eastAsia="en-US"/>
        </w:rPr>
        <w:t>ing small business concessions?</w:t>
      </w:r>
    </w:p>
    <w:p w14:paraId="6A5C984C" w14:textId="2B5B27FB" w:rsidR="00410EC5" w:rsidRPr="00410EC5" w:rsidRDefault="00410EC5" w:rsidP="00410EC5">
      <w:pPr>
        <w:numPr>
          <w:ilvl w:val="0"/>
          <w:numId w:val="29"/>
        </w:numPr>
        <w:spacing w:before="100" w:beforeAutospacing="1" w:after="200"/>
        <w:rPr>
          <w:rFonts w:cs="Calibri"/>
          <w:szCs w:val="22"/>
          <w:lang w:val="en-US" w:eastAsia="en-US"/>
        </w:rPr>
      </w:pPr>
      <w:r>
        <w:rPr>
          <w:rFonts w:cs="Calibri"/>
          <w:szCs w:val="22"/>
          <w:lang w:val="en-US" w:eastAsia="en-US"/>
        </w:rPr>
        <w:t>Which current small business concessions are not working</w:t>
      </w:r>
      <w:r w:rsidR="00856634">
        <w:rPr>
          <w:rFonts w:cs="Calibri"/>
          <w:szCs w:val="22"/>
          <w:lang w:val="en-US" w:eastAsia="en-US"/>
        </w:rPr>
        <w:t xml:space="preserve"> and/or should be removed</w:t>
      </w:r>
      <w:r w:rsidRPr="00410EC5">
        <w:rPr>
          <w:rFonts w:cs="Calibri"/>
          <w:szCs w:val="22"/>
          <w:lang w:val="en-US" w:eastAsia="en-US"/>
        </w:rPr>
        <w:t>?</w:t>
      </w:r>
      <w:r>
        <w:rPr>
          <w:rFonts w:cs="Calibri"/>
          <w:szCs w:val="22"/>
          <w:lang w:val="en-US" w:eastAsia="en-US"/>
        </w:rPr>
        <w:t xml:space="preserve"> Why?</w:t>
      </w:r>
    </w:p>
    <w:p w14:paraId="6A5C984D" w14:textId="67A92606" w:rsidR="00410EC5" w:rsidRDefault="00410EC5" w:rsidP="00410EC5">
      <w:pPr>
        <w:numPr>
          <w:ilvl w:val="0"/>
          <w:numId w:val="29"/>
        </w:numPr>
        <w:spacing w:before="100" w:beforeAutospacing="1" w:after="200"/>
        <w:rPr>
          <w:rFonts w:cs="Calibri"/>
          <w:szCs w:val="22"/>
          <w:lang w:val="en-US" w:eastAsia="en-US"/>
        </w:rPr>
      </w:pPr>
      <w:r w:rsidRPr="00410EC5">
        <w:rPr>
          <w:rFonts w:cs="Calibri"/>
          <w:szCs w:val="22"/>
          <w:lang w:val="en-US" w:eastAsia="en-US"/>
        </w:rPr>
        <w:t>What ideas do you have for new concessions th</w:t>
      </w:r>
      <w:r w:rsidR="00733A7C">
        <w:rPr>
          <w:rFonts w:cs="Calibri"/>
          <w:szCs w:val="22"/>
          <w:lang w:val="en-US" w:eastAsia="en-US"/>
        </w:rPr>
        <w:t>at could help small businesses?</w:t>
      </w:r>
    </w:p>
    <w:p w14:paraId="6A5C984E" w14:textId="77777777" w:rsidR="00410EC5" w:rsidRPr="00410EC5" w:rsidRDefault="00410EC5" w:rsidP="00410EC5">
      <w:pPr>
        <w:spacing w:before="100" w:beforeAutospacing="1" w:after="200"/>
        <w:rPr>
          <w:rFonts w:cs="Calibri"/>
          <w:color w:val="C00000"/>
          <w:sz w:val="28"/>
          <w:szCs w:val="28"/>
          <w:lang w:val="en-US" w:eastAsia="en-US"/>
        </w:rPr>
      </w:pPr>
      <w:r w:rsidRPr="00410EC5">
        <w:rPr>
          <w:rFonts w:cs="Calibri"/>
          <w:color w:val="C00000"/>
          <w:sz w:val="28"/>
          <w:szCs w:val="28"/>
          <w:lang w:val="en-US" w:eastAsia="en-US"/>
        </w:rPr>
        <w:t>Detailed discussion questions</w:t>
      </w:r>
    </w:p>
    <w:p w14:paraId="6A5C984F" w14:textId="77777777" w:rsidR="00A84E1F" w:rsidRDefault="00A84E1F" w:rsidP="00A84E1F">
      <w:pPr>
        <w:pStyle w:val="OutlineNumbered1"/>
        <w:keepLines/>
        <w:numPr>
          <w:ilvl w:val="0"/>
          <w:numId w:val="29"/>
        </w:numPr>
        <w:spacing w:after="200" w:line="276" w:lineRule="auto"/>
        <w:rPr>
          <w:szCs w:val="22"/>
        </w:rPr>
      </w:pPr>
      <w:r>
        <w:rPr>
          <w:szCs w:val="22"/>
        </w:rPr>
        <w:t xml:space="preserve">Do you agree with the reform principles outlined in this document? Are there </w:t>
      </w:r>
      <w:r w:rsidR="00856634">
        <w:rPr>
          <w:szCs w:val="22"/>
        </w:rPr>
        <w:t xml:space="preserve">any </w:t>
      </w:r>
      <w:r>
        <w:rPr>
          <w:szCs w:val="22"/>
        </w:rPr>
        <w:t>other principles that should be considered? Why?</w:t>
      </w:r>
    </w:p>
    <w:p w14:paraId="6A5C9850" w14:textId="77777777" w:rsidR="00A84E1F" w:rsidRDefault="0016777E" w:rsidP="00A84E1F">
      <w:pPr>
        <w:pStyle w:val="OutlineNumbered1"/>
        <w:keepLines/>
        <w:numPr>
          <w:ilvl w:val="0"/>
          <w:numId w:val="29"/>
        </w:numPr>
        <w:spacing w:after="200" w:line="276" w:lineRule="auto"/>
        <w:rPr>
          <w:szCs w:val="22"/>
        </w:rPr>
      </w:pPr>
      <w:r>
        <w:rPr>
          <w:szCs w:val="22"/>
        </w:rPr>
        <w:t>S</w:t>
      </w:r>
      <w:r w:rsidR="00A84E1F">
        <w:rPr>
          <w:szCs w:val="22"/>
        </w:rPr>
        <w:t>hould certain principles be prioritised</w:t>
      </w:r>
      <w:r>
        <w:rPr>
          <w:szCs w:val="22"/>
        </w:rPr>
        <w:t xml:space="preserve"> over others</w:t>
      </w:r>
      <w:r w:rsidR="00A84E1F">
        <w:rPr>
          <w:szCs w:val="22"/>
        </w:rPr>
        <w:t>? Why?</w:t>
      </w:r>
    </w:p>
    <w:p w14:paraId="6A5C9851" w14:textId="1CB33617" w:rsidR="00A84E1F" w:rsidRDefault="00A84E1F" w:rsidP="00296283">
      <w:pPr>
        <w:pStyle w:val="OutlineNumbered1"/>
        <w:keepLines/>
        <w:numPr>
          <w:ilvl w:val="0"/>
          <w:numId w:val="29"/>
        </w:numPr>
        <w:spacing w:after="200" w:line="276" w:lineRule="auto"/>
        <w:rPr>
          <w:szCs w:val="22"/>
        </w:rPr>
      </w:pPr>
      <w:r w:rsidRPr="00296283">
        <w:rPr>
          <w:szCs w:val="22"/>
        </w:rPr>
        <w:t>What are the objectives of small businesses using a particular legal structure (companies, tru</w:t>
      </w:r>
      <w:r w:rsidR="00733A7C">
        <w:rPr>
          <w:szCs w:val="22"/>
        </w:rPr>
        <w:t>sts, partnership, sole trader)?</w:t>
      </w:r>
    </w:p>
    <w:p w14:paraId="6A5C9852" w14:textId="770273E5" w:rsidR="00A84E1F" w:rsidRDefault="00A84E1F" w:rsidP="00296283">
      <w:pPr>
        <w:pStyle w:val="OutlineNumbered1"/>
        <w:keepLines/>
        <w:numPr>
          <w:ilvl w:val="1"/>
          <w:numId w:val="29"/>
        </w:numPr>
        <w:spacing w:after="200" w:line="276" w:lineRule="auto"/>
        <w:rPr>
          <w:szCs w:val="22"/>
        </w:rPr>
      </w:pPr>
      <w:r w:rsidRPr="00296283">
        <w:rPr>
          <w:szCs w:val="22"/>
        </w:rPr>
        <w:t>What are the main objectives businesses have when they seek structuring advice (for example, reducing tax liabilities, succession planning, asset protection, etc.)</w:t>
      </w:r>
      <w:r w:rsidR="00856634">
        <w:rPr>
          <w:szCs w:val="22"/>
        </w:rPr>
        <w:t>?</w:t>
      </w:r>
    </w:p>
    <w:p w14:paraId="6A5C9853" w14:textId="77777777" w:rsidR="00A84E1F" w:rsidRPr="00C23172" w:rsidRDefault="00A84E1F" w:rsidP="00C23172">
      <w:pPr>
        <w:pStyle w:val="OutlineNumbered1"/>
        <w:keepLines/>
        <w:numPr>
          <w:ilvl w:val="1"/>
          <w:numId w:val="29"/>
        </w:numPr>
        <w:spacing w:after="200" w:line="276" w:lineRule="auto"/>
        <w:rPr>
          <w:szCs w:val="22"/>
        </w:rPr>
      </w:pPr>
      <w:r w:rsidRPr="00296283">
        <w:rPr>
          <w:szCs w:val="22"/>
        </w:rPr>
        <w:t>Relative to other factors, how important is reducing tax liabilities?</w:t>
      </w:r>
    </w:p>
    <w:p w14:paraId="6A5C9854" w14:textId="77777777" w:rsidR="00C23172" w:rsidRDefault="00C23172" w:rsidP="00C23172">
      <w:pPr>
        <w:pStyle w:val="OutlineNumbered1"/>
        <w:keepLines/>
        <w:numPr>
          <w:ilvl w:val="0"/>
          <w:numId w:val="29"/>
        </w:numPr>
        <w:spacing w:after="200" w:line="276" w:lineRule="auto"/>
        <w:rPr>
          <w:szCs w:val="22"/>
        </w:rPr>
      </w:pPr>
      <w:r>
        <w:rPr>
          <w:szCs w:val="22"/>
        </w:rPr>
        <w:t>Are small business tax concessions skewed to specific parts of the small business lifecycle? If so, should they be refocused and in what way?</w:t>
      </w:r>
    </w:p>
    <w:p w14:paraId="6A5C9855" w14:textId="77777777" w:rsidR="00C23172" w:rsidRDefault="00C23172" w:rsidP="00C23172">
      <w:pPr>
        <w:pStyle w:val="OutlineNumbered1"/>
        <w:keepLines/>
        <w:numPr>
          <w:ilvl w:val="0"/>
          <w:numId w:val="29"/>
        </w:numPr>
        <w:spacing w:after="200" w:line="276" w:lineRule="auto"/>
        <w:rPr>
          <w:szCs w:val="22"/>
        </w:rPr>
      </w:pPr>
      <w:r>
        <w:rPr>
          <w:szCs w:val="22"/>
        </w:rPr>
        <w:t>Generally</w:t>
      </w:r>
      <w:r w:rsidR="00856634">
        <w:rPr>
          <w:szCs w:val="22"/>
        </w:rPr>
        <w:t>,</w:t>
      </w:r>
      <w:r>
        <w:rPr>
          <w:szCs w:val="22"/>
        </w:rPr>
        <w:t xml:space="preserve"> tax concessions are broadly based and apply across different sectors of the economy. Should there be small business tax concessions for specific sectors? If so, why?</w:t>
      </w:r>
    </w:p>
    <w:p w14:paraId="6A5C9856" w14:textId="34250DAE" w:rsidR="00C23172" w:rsidRDefault="00C23172" w:rsidP="002651E8">
      <w:pPr>
        <w:pStyle w:val="OutlineNumbered1"/>
        <w:keepNext/>
        <w:keepLines/>
        <w:numPr>
          <w:ilvl w:val="0"/>
          <w:numId w:val="29"/>
        </w:numPr>
        <w:spacing w:after="200" w:line="276" w:lineRule="auto"/>
        <w:ind w:hanging="522"/>
        <w:rPr>
          <w:szCs w:val="22"/>
        </w:rPr>
      </w:pPr>
      <w:r>
        <w:rPr>
          <w:szCs w:val="22"/>
        </w:rPr>
        <w:lastRenderedPageBreak/>
        <w:t>Does the small business eligibility criteria (for example, the $2m turnover threshold</w:t>
      </w:r>
      <w:r w:rsidR="005C0689">
        <w:rPr>
          <w:szCs w:val="22"/>
        </w:rPr>
        <w:t xml:space="preserve"> for small business CGT concessions</w:t>
      </w:r>
      <w:r>
        <w:rPr>
          <w:szCs w:val="22"/>
        </w:rPr>
        <w:t xml:space="preserve">) </w:t>
      </w:r>
      <w:r w:rsidR="00856634">
        <w:rPr>
          <w:szCs w:val="22"/>
        </w:rPr>
        <w:t xml:space="preserve">influence you to not want </w:t>
      </w:r>
      <w:r>
        <w:rPr>
          <w:szCs w:val="22"/>
        </w:rPr>
        <w:t>to grow your business?</w:t>
      </w:r>
    </w:p>
    <w:p w14:paraId="4D3EF519" w14:textId="370C302D" w:rsidR="0033165F" w:rsidRDefault="0033165F" w:rsidP="002651E8">
      <w:pPr>
        <w:pStyle w:val="OutlineNumbered1"/>
        <w:keepNext/>
        <w:keepLines/>
        <w:numPr>
          <w:ilvl w:val="1"/>
          <w:numId w:val="29"/>
        </w:numPr>
        <w:spacing w:after="200" w:line="276" w:lineRule="auto"/>
        <w:ind w:hanging="522"/>
        <w:rPr>
          <w:szCs w:val="22"/>
        </w:rPr>
      </w:pPr>
      <w:r>
        <w:rPr>
          <w:szCs w:val="22"/>
        </w:rPr>
        <w:t>Are there alternative mechanisms to phase-out small business tax concessions as opposed to a hard cut-off?</w:t>
      </w:r>
    </w:p>
    <w:p w14:paraId="6A5C9857" w14:textId="76D69727" w:rsidR="00A84E1F" w:rsidRDefault="00A84E1F" w:rsidP="00A84E1F">
      <w:pPr>
        <w:pStyle w:val="OutlineNumbered1"/>
        <w:keepLines/>
        <w:numPr>
          <w:ilvl w:val="0"/>
          <w:numId w:val="29"/>
        </w:numPr>
        <w:spacing w:after="200" w:line="276" w:lineRule="auto"/>
        <w:rPr>
          <w:szCs w:val="22"/>
        </w:rPr>
      </w:pPr>
      <w:r w:rsidRPr="007B02EA">
        <w:rPr>
          <w:szCs w:val="22"/>
        </w:rPr>
        <w:t>What changes to the tax system would make it simpler and reduce the compli</w:t>
      </w:r>
      <w:r w:rsidR="00733A7C">
        <w:rPr>
          <w:szCs w:val="22"/>
        </w:rPr>
        <w:t>ance burden for small business?</w:t>
      </w:r>
    </w:p>
    <w:p w14:paraId="7B494398" w14:textId="1F7CF1F9" w:rsidR="00543D34" w:rsidRPr="00543D34" w:rsidRDefault="00543D34" w:rsidP="00543D34">
      <w:pPr>
        <w:pStyle w:val="OutlineNumbered1"/>
        <w:keepLines/>
        <w:numPr>
          <w:ilvl w:val="0"/>
          <w:numId w:val="29"/>
        </w:numPr>
        <w:spacing w:after="200" w:line="276" w:lineRule="auto"/>
        <w:rPr>
          <w:szCs w:val="22"/>
        </w:rPr>
      </w:pPr>
      <w:r>
        <w:rPr>
          <w:szCs w:val="22"/>
        </w:rPr>
        <w:t>Should the definition of small business for tax p</w:t>
      </w:r>
      <w:r w:rsidR="00733A7C">
        <w:rPr>
          <w:szCs w:val="22"/>
        </w:rPr>
        <w:t>urposes be changed? If so, how?</w:t>
      </w:r>
    </w:p>
    <w:p w14:paraId="6A5C985A" w14:textId="52714DB9" w:rsidR="00B37C6C" w:rsidRDefault="00A84E1F" w:rsidP="00733A7C">
      <w:pPr>
        <w:pStyle w:val="OutlineNumbered1"/>
        <w:keepLines/>
        <w:numPr>
          <w:ilvl w:val="0"/>
          <w:numId w:val="29"/>
        </w:numPr>
        <w:spacing w:after="160" w:line="259" w:lineRule="auto"/>
      </w:pPr>
      <w:r w:rsidRPr="00733A7C">
        <w:rPr>
          <w:szCs w:val="22"/>
        </w:rPr>
        <w:t>Does technology make it easier to comply with your tax obligations and access small busine</w:t>
      </w:r>
      <w:r w:rsidR="00733A7C" w:rsidRPr="00733A7C">
        <w:rPr>
          <w:szCs w:val="22"/>
        </w:rPr>
        <w:t>ss concessions? Why or why not?</w:t>
      </w:r>
      <w:r w:rsidR="00B37C6C">
        <w:br w:type="page"/>
      </w:r>
    </w:p>
    <w:p w14:paraId="6A5C985B" w14:textId="77777777" w:rsidR="00043A4B" w:rsidRDefault="00043A4B" w:rsidP="00043A4B">
      <w:pPr>
        <w:pStyle w:val="Heading1"/>
      </w:pPr>
      <w:bookmarkStart w:id="12" w:name="_Toc510006857"/>
      <w:r>
        <w:lastRenderedPageBreak/>
        <w:t>Membership</w:t>
      </w:r>
      <w:bookmarkEnd w:id="12"/>
    </w:p>
    <w:p w14:paraId="6A5C985D" w14:textId="26AED428" w:rsidR="001E1198" w:rsidRPr="00296283" w:rsidRDefault="004714F8" w:rsidP="00733A7C">
      <w:pPr>
        <w:pStyle w:val="Introductionparagraph"/>
      </w:pPr>
      <w:r w:rsidRPr="004714F8">
        <w:t xml:space="preserve">The Board has appointed Board members Dr Mark Pizzacalla and Mr Peter Quiggin PSM to lead this review. </w:t>
      </w:r>
      <w:r w:rsidR="004D0713" w:rsidRPr="00DC77BA">
        <w:t xml:space="preserve">The </w:t>
      </w:r>
      <w:r w:rsidR="004D0713">
        <w:t>Board</w:t>
      </w:r>
      <w:r w:rsidR="004D0713" w:rsidRPr="00DC77BA">
        <w:t xml:space="preserve"> </w:t>
      </w:r>
      <w:r w:rsidR="004A46A3">
        <w:t>is working in close partnership with the</w:t>
      </w:r>
      <w:r w:rsidR="004D0713" w:rsidRPr="00DC77BA">
        <w:t xml:space="preserve"> </w:t>
      </w:r>
      <w:r w:rsidR="00D10C49">
        <w:t xml:space="preserve">following </w:t>
      </w:r>
      <w:r w:rsidR="004D0713" w:rsidRPr="00DC77BA">
        <w:t xml:space="preserve">small business </w:t>
      </w:r>
      <w:r w:rsidR="00D21D50">
        <w:t xml:space="preserve">tax </w:t>
      </w:r>
      <w:r w:rsidR="004D0713">
        <w:t>experts</w:t>
      </w:r>
      <w:r w:rsidR="00D10C49">
        <w:t xml:space="preserve"> </w:t>
      </w:r>
      <w:r w:rsidR="004A46A3">
        <w:t xml:space="preserve">appointed to the </w:t>
      </w:r>
      <w:r w:rsidR="00D10C49">
        <w:t>Reference Group.</w:t>
      </w:r>
    </w:p>
    <w:tbl>
      <w:tblPr>
        <w:tblStyle w:val="TableGrid"/>
        <w:tblW w:w="9712" w:type="dxa"/>
        <w:tblLook w:val="04A0" w:firstRow="1" w:lastRow="0" w:firstColumn="1" w:lastColumn="0" w:noHBand="0" w:noVBand="1"/>
      </w:tblPr>
      <w:tblGrid>
        <w:gridCol w:w="4856"/>
        <w:gridCol w:w="4856"/>
      </w:tblGrid>
      <w:tr w:rsidR="001E1198" w14:paraId="6A5C9860" w14:textId="77777777" w:rsidTr="002651E8">
        <w:trPr>
          <w:trHeight w:val="492"/>
        </w:trPr>
        <w:tc>
          <w:tcPr>
            <w:tcW w:w="4856" w:type="dxa"/>
            <w:hideMark/>
          </w:tcPr>
          <w:p w14:paraId="6A5C985E" w14:textId="77777777" w:rsidR="001E1198" w:rsidRDefault="001E1198">
            <w:pPr>
              <w:rPr>
                <w:b/>
                <w:color w:val="C00000"/>
                <w:sz w:val="28"/>
                <w:szCs w:val="28"/>
              </w:rPr>
            </w:pPr>
            <w:r>
              <w:rPr>
                <w:b/>
                <w:color w:val="C00000"/>
                <w:sz w:val="28"/>
                <w:szCs w:val="28"/>
              </w:rPr>
              <w:t>Dr Mark Pizzacalla - Chair</w:t>
            </w:r>
          </w:p>
        </w:tc>
        <w:tc>
          <w:tcPr>
            <w:tcW w:w="4856" w:type="dxa"/>
            <w:hideMark/>
          </w:tcPr>
          <w:p w14:paraId="6A5C985F" w14:textId="77777777" w:rsidR="001E1198" w:rsidRDefault="001E1198">
            <w:pPr>
              <w:rPr>
                <w:b/>
                <w:color w:val="C00000"/>
                <w:sz w:val="28"/>
                <w:szCs w:val="28"/>
              </w:rPr>
            </w:pPr>
            <w:r>
              <w:rPr>
                <w:b/>
                <w:color w:val="C00000"/>
                <w:sz w:val="28"/>
                <w:szCs w:val="28"/>
              </w:rPr>
              <w:t>Mr Peter Quiggin PSM</w:t>
            </w:r>
          </w:p>
        </w:tc>
      </w:tr>
      <w:tr w:rsidR="001E1198" w14:paraId="6A5C9864" w14:textId="77777777" w:rsidTr="002651E8">
        <w:trPr>
          <w:trHeight w:val="2393"/>
        </w:trPr>
        <w:tc>
          <w:tcPr>
            <w:tcW w:w="4856" w:type="dxa"/>
            <w:hideMark/>
          </w:tcPr>
          <w:p w14:paraId="6A5C9861" w14:textId="580E99BD" w:rsidR="001E1198" w:rsidRDefault="001E1198">
            <w:pPr>
              <w:jc w:val="left"/>
              <w:rPr>
                <w:sz w:val="24"/>
                <w:szCs w:val="24"/>
              </w:rPr>
            </w:pPr>
            <w:r>
              <w:rPr>
                <w:sz w:val="24"/>
                <w:szCs w:val="24"/>
              </w:rPr>
              <w:t>Mark Pizzacalla has been a Board member since 2015. He is Partner-in-Charge of the Business Serv</w:t>
            </w:r>
            <w:r w:rsidR="00733A7C">
              <w:rPr>
                <w:sz w:val="24"/>
                <w:szCs w:val="24"/>
              </w:rPr>
              <w:t>ices practice at BDO Melbourne.</w:t>
            </w:r>
          </w:p>
          <w:p w14:paraId="6A5C9862" w14:textId="282D4FFB" w:rsidR="001E1198" w:rsidRDefault="001E1198">
            <w:pPr>
              <w:jc w:val="left"/>
              <w:rPr>
                <w:sz w:val="24"/>
                <w:szCs w:val="24"/>
              </w:rPr>
            </w:pPr>
            <w:r>
              <w:rPr>
                <w:sz w:val="24"/>
                <w:szCs w:val="24"/>
              </w:rPr>
              <w:t>Mark completed his PhD in relation to the taxation of small and medium enterprises, and is a regular expert commentat</w:t>
            </w:r>
            <w:r w:rsidR="00733A7C">
              <w:rPr>
                <w:sz w:val="24"/>
                <w:szCs w:val="24"/>
              </w:rPr>
              <w:t>or and presenter on tax issues.</w:t>
            </w:r>
          </w:p>
        </w:tc>
        <w:tc>
          <w:tcPr>
            <w:tcW w:w="4856" w:type="dxa"/>
            <w:hideMark/>
          </w:tcPr>
          <w:p w14:paraId="6A5C9863" w14:textId="6A20F7C8" w:rsidR="001E1198" w:rsidRDefault="001E1198">
            <w:pPr>
              <w:jc w:val="left"/>
              <w:rPr>
                <w:sz w:val="24"/>
                <w:szCs w:val="24"/>
              </w:rPr>
            </w:pPr>
            <w:r>
              <w:rPr>
                <w:sz w:val="24"/>
                <w:szCs w:val="24"/>
              </w:rPr>
              <w:t xml:space="preserve">As head of the Office of Parliamentary Counsel (OPC) since 2004, Peter Quiggin is an </w:t>
            </w:r>
            <w:r>
              <w:rPr>
                <w:i/>
                <w:sz w:val="24"/>
                <w:szCs w:val="24"/>
              </w:rPr>
              <w:t xml:space="preserve">ex officio </w:t>
            </w:r>
            <w:r>
              <w:rPr>
                <w:sz w:val="24"/>
                <w:szCs w:val="24"/>
              </w:rPr>
              <w:t>member of the Board. Peter is responsible for drafting all principal legislation, all regulations and a range of legislative instruments</w:t>
            </w:r>
            <w:r w:rsidR="00733A7C">
              <w:rPr>
                <w:sz w:val="24"/>
                <w:szCs w:val="24"/>
              </w:rPr>
              <w:t xml:space="preserve"> for the Australian Government.</w:t>
            </w:r>
          </w:p>
        </w:tc>
      </w:tr>
    </w:tbl>
    <w:p w14:paraId="6A5C9885" w14:textId="77777777" w:rsidR="00CA6607" w:rsidRDefault="00CA6607" w:rsidP="00296283"/>
    <w:tbl>
      <w:tblPr>
        <w:tblStyle w:val="TableGrid"/>
        <w:tblW w:w="9712" w:type="dxa"/>
        <w:tblLook w:val="04A0" w:firstRow="1" w:lastRow="0" w:firstColumn="1" w:lastColumn="0" w:noHBand="0" w:noVBand="1"/>
      </w:tblPr>
      <w:tblGrid>
        <w:gridCol w:w="2552"/>
        <w:gridCol w:w="2693"/>
        <w:gridCol w:w="4467"/>
      </w:tblGrid>
      <w:tr w:rsidR="00733A7C" w14:paraId="6C567FB3" w14:textId="77777777" w:rsidTr="002651E8">
        <w:tc>
          <w:tcPr>
            <w:tcW w:w="2552" w:type="dxa"/>
            <w:hideMark/>
          </w:tcPr>
          <w:p w14:paraId="6E5A51A1" w14:textId="77777777" w:rsidR="00733A7C" w:rsidRDefault="00733A7C" w:rsidP="008847F0">
            <w:pPr>
              <w:jc w:val="left"/>
              <w:rPr>
                <w:b/>
                <w:color w:val="C00000"/>
                <w:sz w:val="24"/>
                <w:szCs w:val="24"/>
              </w:rPr>
            </w:pPr>
            <w:r w:rsidRPr="00296283">
              <w:rPr>
                <w:b/>
                <w:color w:val="002060"/>
                <w:sz w:val="24"/>
                <w:szCs w:val="24"/>
              </w:rPr>
              <w:t>M</w:t>
            </w:r>
            <w:r>
              <w:rPr>
                <w:b/>
                <w:color w:val="002060"/>
                <w:sz w:val="24"/>
                <w:szCs w:val="24"/>
              </w:rPr>
              <w:t>r</w:t>
            </w:r>
            <w:r w:rsidRPr="00296283">
              <w:rPr>
                <w:b/>
                <w:color w:val="002060"/>
                <w:sz w:val="24"/>
                <w:szCs w:val="24"/>
              </w:rPr>
              <w:t xml:space="preserve"> Tony Greco</w:t>
            </w:r>
          </w:p>
        </w:tc>
        <w:tc>
          <w:tcPr>
            <w:tcW w:w="2693" w:type="dxa"/>
            <w:hideMark/>
          </w:tcPr>
          <w:p w14:paraId="19FA82D4" w14:textId="77777777" w:rsidR="00733A7C" w:rsidRDefault="00733A7C" w:rsidP="008847F0">
            <w:pPr>
              <w:jc w:val="left"/>
              <w:rPr>
                <w:sz w:val="24"/>
                <w:szCs w:val="24"/>
              </w:rPr>
            </w:pPr>
            <w:r>
              <w:rPr>
                <w:sz w:val="24"/>
                <w:szCs w:val="24"/>
              </w:rPr>
              <w:t>Senior Tax Adviser</w:t>
            </w:r>
          </w:p>
        </w:tc>
        <w:tc>
          <w:tcPr>
            <w:tcW w:w="4467" w:type="dxa"/>
            <w:hideMark/>
          </w:tcPr>
          <w:p w14:paraId="3A79C3BA" w14:textId="77777777" w:rsidR="00733A7C" w:rsidRDefault="00733A7C" w:rsidP="008847F0">
            <w:pPr>
              <w:jc w:val="left"/>
              <w:rPr>
                <w:sz w:val="24"/>
                <w:szCs w:val="24"/>
              </w:rPr>
            </w:pPr>
            <w:r>
              <w:rPr>
                <w:sz w:val="24"/>
                <w:szCs w:val="24"/>
              </w:rPr>
              <w:t>Institute of Public Accountants</w:t>
            </w:r>
          </w:p>
        </w:tc>
      </w:tr>
      <w:tr w:rsidR="00733A7C" w14:paraId="28E54207" w14:textId="77777777" w:rsidTr="002651E8">
        <w:tc>
          <w:tcPr>
            <w:tcW w:w="2552" w:type="dxa"/>
            <w:hideMark/>
          </w:tcPr>
          <w:p w14:paraId="4D6DDAA8" w14:textId="77777777" w:rsidR="00733A7C" w:rsidRDefault="00733A7C" w:rsidP="008847F0">
            <w:pPr>
              <w:jc w:val="left"/>
              <w:rPr>
                <w:b/>
                <w:color w:val="C00000"/>
                <w:sz w:val="24"/>
                <w:szCs w:val="24"/>
              </w:rPr>
            </w:pPr>
            <w:r w:rsidRPr="00296283">
              <w:rPr>
                <w:b/>
                <w:color w:val="002060"/>
                <w:sz w:val="24"/>
                <w:szCs w:val="24"/>
              </w:rPr>
              <w:t>Mr Michael Carruthers</w:t>
            </w:r>
          </w:p>
        </w:tc>
        <w:tc>
          <w:tcPr>
            <w:tcW w:w="2693" w:type="dxa"/>
            <w:hideMark/>
          </w:tcPr>
          <w:p w14:paraId="0A6A36C7" w14:textId="77777777" w:rsidR="00733A7C" w:rsidRDefault="00733A7C" w:rsidP="008847F0">
            <w:pPr>
              <w:jc w:val="left"/>
              <w:rPr>
                <w:sz w:val="24"/>
                <w:szCs w:val="24"/>
              </w:rPr>
            </w:pPr>
            <w:r>
              <w:rPr>
                <w:sz w:val="24"/>
                <w:szCs w:val="24"/>
              </w:rPr>
              <w:t>Tax Director</w:t>
            </w:r>
          </w:p>
        </w:tc>
        <w:tc>
          <w:tcPr>
            <w:tcW w:w="4467" w:type="dxa"/>
            <w:hideMark/>
          </w:tcPr>
          <w:p w14:paraId="27C4184E" w14:textId="77777777" w:rsidR="00733A7C" w:rsidRDefault="00733A7C" w:rsidP="008847F0">
            <w:pPr>
              <w:jc w:val="left"/>
              <w:rPr>
                <w:sz w:val="24"/>
                <w:szCs w:val="24"/>
              </w:rPr>
            </w:pPr>
            <w:r>
              <w:rPr>
                <w:sz w:val="24"/>
                <w:szCs w:val="24"/>
              </w:rPr>
              <w:t>Knowledge Shop</w:t>
            </w:r>
          </w:p>
        </w:tc>
      </w:tr>
      <w:tr w:rsidR="00733A7C" w14:paraId="4800A192" w14:textId="77777777" w:rsidTr="002651E8">
        <w:tc>
          <w:tcPr>
            <w:tcW w:w="2552" w:type="dxa"/>
            <w:hideMark/>
          </w:tcPr>
          <w:p w14:paraId="7E22CA46" w14:textId="77777777" w:rsidR="00733A7C" w:rsidRDefault="00733A7C" w:rsidP="008847F0">
            <w:pPr>
              <w:jc w:val="left"/>
              <w:rPr>
                <w:b/>
                <w:color w:val="C00000"/>
                <w:sz w:val="24"/>
                <w:szCs w:val="24"/>
              </w:rPr>
            </w:pPr>
            <w:r w:rsidRPr="00296283">
              <w:rPr>
                <w:b/>
                <w:color w:val="002060"/>
                <w:sz w:val="24"/>
                <w:szCs w:val="24"/>
              </w:rPr>
              <w:t>Ms Shannon Smit</w:t>
            </w:r>
          </w:p>
        </w:tc>
        <w:tc>
          <w:tcPr>
            <w:tcW w:w="2693" w:type="dxa"/>
            <w:hideMark/>
          </w:tcPr>
          <w:p w14:paraId="17B6E76D" w14:textId="77777777" w:rsidR="00733A7C" w:rsidRDefault="00733A7C" w:rsidP="008847F0">
            <w:pPr>
              <w:jc w:val="left"/>
              <w:rPr>
                <w:sz w:val="24"/>
                <w:szCs w:val="24"/>
              </w:rPr>
            </w:pPr>
            <w:r>
              <w:rPr>
                <w:sz w:val="24"/>
                <w:szCs w:val="24"/>
              </w:rPr>
              <w:t>Director</w:t>
            </w:r>
          </w:p>
        </w:tc>
        <w:tc>
          <w:tcPr>
            <w:tcW w:w="4467" w:type="dxa"/>
            <w:hideMark/>
          </w:tcPr>
          <w:p w14:paraId="5ED90E26" w14:textId="77777777" w:rsidR="00733A7C" w:rsidRDefault="00733A7C" w:rsidP="008847F0">
            <w:pPr>
              <w:jc w:val="left"/>
              <w:rPr>
                <w:sz w:val="24"/>
                <w:szCs w:val="24"/>
              </w:rPr>
            </w:pPr>
            <w:r>
              <w:rPr>
                <w:sz w:val="24"/>
                <w:szCs w:val="24"/>
              </w:rPr>
              <w:t>Smart Business Solutions</w:t>
            </w:r>
          </w:p>
        </w:tc>
      </w:tr>
      <w:tr w:rsidR="00733A7C" w14:paraId="2260D20A" w14:textId="77777777" w:rsidTr="002651E8">
        <w:tc>
          <w:tcPr>
            <w:tcW w:w="2552" w:type="dxa"/>
            <w:hideMark/>
          </w:tcPr>
          <w:p w14:paraId="5B4328BE" w14:textId="77777777" w:rsidR="00733A7C" w:rsidRDefault="00733A7C" w:rsidP="008847F0">
            <w:pPr>
              <w:jc w:val="left"/>
              <w:rPr>
                <w:b/>
                <w:color w:val="C00000"/>
                <w:sz w:val="24"/>
                <w:szCs w:val="24"/>
              </w:rPr>
            </w:pPr>
            <w:r w:rsidRPr="00296283">
              <w:rPr>
                <w:b/>
                <w:color w:val="002060"/>
                <w:sz w:val="24"/>
                <w:szCs w:val="24"/>
              </w:rPr>
              <w:t>Mr Michael Parker</w:t>
            </w:r>
          </w:p>
        </w:tc>
        <w:tc>
          <w:tcPr>
            <w:tcW w:w="2693" w:type="dxa"/>
            <w:hideMark/>
          </w:tcPr>
          <w:p w14:paraId="3A7EDE89" w14:textId="77777777" w:rsidR="00733A7C" w:rsidRDefault="00733A7C" w:rsidP="008847F0">
            <w:pPr>
              <w:jc w:val="left"/>
              <w:rPr>
                <w:sz w:val="24"/>
                <w:szCs w:val="24"/>
              </w:rPr>
            </w:pPr>
            <w:r>
              <w:rPr>
                <w:sz w:val="24"/>
                <w:szCs w:val="24"/>
              </w:rPr>
              <w:t>Partner</w:t>
            </w:r>
          </w:p>
        </w:tc>
        <w:tc>
          <w:tcPr>
            <w:tcW w:w="4467" w:type="dxa"/>
            <w:hideMark/>
          </w:tcPr>
          <w:p w14:paraId="302BFB9F" w14:textId="77777777" w:rsidR="00733A7C" w:rsidRDefault="00733A7C" w:rsidP="008847F0">
            <w:pPr>
              <w:jc w:val="left"/>
              <w:rPr>
                <w:sz w:val="24"/>
                <w:szCs w:val="24"/>
              </w:rPr>
            </w:pPr>
            <w:r>
              <w:rPr>
                <w:sz w:val="24"/>
                <w:szCs w:val="24"/>
              </w:rPr>
              <w:t>Hall &amp; Willcox</w:t>
            </w:r>
          </w:p>
        </w:tc>
      </w:tr>
      <w:tr w:rsidR="00733A7C" w14:paraId="53D3BF65" w14:textId="77777777" w:rsidTr="002651E8">
        <w:tc>
          <w:tcPr>
            <w:tcW w:w="2552" w:type="dxa"/>
            <w:hideMark/>
          </w:tcPr>
          <w:p w14:paraId="776683D9" w14:textId="77777777" w:rsidR="00733A7C" w:rsidRDefault="00733A7C" w:rsidP="008847F0">
            <w:pPr>
              <w:jc w:val="left"/>
              <w:rPr>
                <w:b/>
                <w:color w:val="C00000"/>
                <w:sz w:val="24"/>
                <w:szCs w:val="24"/>
              </w:rPr>
            </w:pPr>
            <w:r w:rsidRPr="00296283">
              <w:rPr>
                <w:b/>
                <w:color w:val="002060"/>
                <w:sz w:val="24"/>
                <w:szCs w:val="24"/>
              </w:rPr>
              <w:t>Professor Chris Evans</w:t>
            </w:r>
          </w:p>
        </w:tc>
        <w:tc>
          <w:tcPr>
            <w:tcW w:w="2693" w:type="dxa"/>
            <w:hideMark/>
          </w:tcPr>
          <w:p w14:paraId="32DD2135" w14:textId="77777777" w:rsidR="00733A7C" w:rsidRDefault="00733A7C" w:rsidP="008847F0">
            <w:pPr>
              <w:jc w:val="left"/>
              <w:rPr>
                <w:sz w:val="24"/>
                <w:szCs w:val="24"/>
              </w:rPr>
            </w:pPr>
            <w:r>
              <w:rPr>
                <w:sz w:val="24"/>
                <w:szCs w:val="24"/>
              </w:rPr>
              <w:t>Professor</w:t>
            </w:r>
          </w:p>
        </w:tc>
        <w:tc>
          <w:tcPr>
            <w:tcW w:w="4467" w:type="dxa"/>
            <w:hideMark/>
          </w:tcPr>
          <w:p w14:paraId="684FAE04" w14:textId="77777777" w:rsidR="00733A7C" w:rsidRDefault="00733A7C" w:rsidP="008847F0">
            <w:pPr>
              <w:jc w:val="left"/>
              <w:rPr>
                <w:sz w:val="24"/>
                <w:szCs w:val="24"/>
              </w:rPr>
            </w:pPr>
            <w:r>
              <w:rPr>
                <w:sz w:val="24"/>
                <w:szCs w:val="24"/>
              </w:rPr>
              <w:t xml:space="preserve">School of Taxation &amp; Business Law, UNSW </w:t>
            </w:r>
          </w:p>
        </w:tc>
      </w:tr>
      <w:tr w:rsidR="00733A7C" w14:paraId="3376DFC8" w14:textId="77777777" w:rsidTr="002651E8">
        <w:trPr>
          <w:trHeight w:val="495"/>
        </w:trPr>
        <w:tc>
          <w:tcPr>
            <w:tcW w:w="2552" w:type="dxa"/>
            <w:hideMark/>
          </w:tcPr>
          <w:p w14:paraId="7D626DC3" w14:textId="77777777" w:rsidR="00733A7C" w:rsidRDefault="00733A7C" w:rsidP="008847F0">
            <w:pPr>
              <w:jc w:val="left"/>
              <w:rPr>
                <w:b/>
                <w:color w:val="C00000"/>
                <w:sz w:val="24"/>
                <w:szCs w:val="24"/>
              </w:rPr>
            </w:pPr>
            <w:r w:rsidRPr="00296283">
              <w:rPr>
                <w:b/>
                <w:color w:val="002060"/>
                <w:sz w:val="24"/>
                <w:szCs w:val="24"/>
              </w:rPr>
              <w:t>Ms Susan Franks</w:t>
            </w:r>
          </w:p>
        </w:tc>
        <w:tc>
          <w:tcPr>
            <w:tcW w:w="2693" w:type="dxa"/>
            <w:hideMark/>
          </w:tcPr>
          <w:p w14:paraId="4419DD82" w14:textId="77777777" w:rsidR="00733A7C" w:rsidRDefault="00733A7C" w:rsidP="008847F0">
            <w:pPr>
              <w:jc w:val="left"/>
              <w:rPr>
                <w:sz w:val="24"/>
                <w:szCs w:val="24"/>
              </w:rPr>
            </w:pPr>
            <w:r>
              <w:rPr>
                <w:sz w:val="24"/>
                <w:szCs w:val="24"/>
              </w:rPr>
              <w:t>Senior Tax Advocate</w:t>
            </w:r>
          </w:p>
        </w:tc>
        <w:tc>
          <w:tcPr>
            <w:tcW w:w="4467" w:type="dxa"/>
            <w:hideMark/>
          </w:tcPr>
          <w:p w14:paraId="2F538DE2" w14:textId="77777777" w:rsidR="00733A7C" w:rsidRDefault="00733A7C" w:rsidP="008847F0">
            <w:pPr>
              <w:jc w:val="left"/>
              <w:rPr>
                <w:sz w:val="24"/>
                <w:szCs w:val="24"/>
              </w:rPr>
            </w:pPr>
            <w:r>
              <w:rPr>
                <w:sz w:val="24"/>
                <w:szCs w:val="24"/>
              </w:rPr>
              <w:t>Chartered Accountants Australia and New Zealand</w:t>
            </w:r>
          </w:p>
        </w:tc>
      </w:tr>
      <w:tr w:rsidR="00733A7C" w14:paraId="401F52F4" w14:textId="77777777" w:rsidTr="002651E8">
        <w:tc>
          <w:tcPr>
            <w:tcW w:w="2552" w:type="dxa"/>
            <w:hideMark/>
          </w:tcPr>
          <w:p w14:paraId="7273DCD6" w14:textId="77777777" w:rsidR="00733A7C" w:rsidRDefault="00733A7C" w:rsidP="008847F0">
            <w:pPr>
              <w:jc w:val="left"/>
              <w:rPr>
                <w:b/>
                <w:color w:val="C00000"/>
                <w:sz w:val="24"/>
                <w:szCs w:val="24"/>
              </w:rPr>
            </w:pPr>
            <w:r w:rsidRPr="00296283">
              <w:rPr>
                <w:b/>
                <w:color w:val="002060"/>
                <w:sz w:val="24"/>
                <w:szCs w:val="24"/>
              </w:rPr>
              <w:t>Mr Chris Wookey</w:t>
            </w:r>
          </w:p>
        </w:tc>
        <w:tc>
          <w:tcPr>
            <w:tcW w:w="2693" w:type="dxa"/>
            <w:hideMark/>
          </w:tcPr>
          <w:p w14:paraId="61EBEE22" w14:textId="77777777" w:rsidR="00733A7C" w:rsidRDefault="00733A7C" w:rsidP="008847F0">
            <w:pPr>
              <w:jc w:val="left"/>
              <w:rPr>
                <w:sz w:val="24"/>
                <w:szCs w:val="24"/>
              </w:rPr>
            </w:pPr>
            <w:r>
              <w:rPr>
                <w:sz w:val="24"/>
                <w:szCs w:val="24"/>
              </w:rPr>
              <w:t>Principal</w:t>
            </w:r>
          </w:p>
        </w:tc>
        <w:tc>
          <w:tcPr>
            <w:tcW w:w="4467" w:type="dxa"/>
            <w:hideMark/>
          </w:tcPr>
          <w:p w14:paraId="331B79E0" w14:textId="77777777" w:rsidR="00733A7C" w:rsidRDefault="00733A7C" w:rsidP="008847F0">
            <w:pPr>
              <w:jc w:val="left"/>
              <w:rPr>
                <w:sz w:val="24"/>
                <w:szCs w:val="24"/>
              </w:rPr>
            </w:pPr>
            <w:r>
              <w:rPr>
                <w:sz w:val="24"/>
                <w:szCs w:val="24"/>
              </w:rPr>
              <w:t>Deloitte Private</w:t>
            </w:r>
          </w:p>
        </w:tc>
      </w:tr>
      <w:tr w:rsidR="00733A7C" w14:paraId="4ED3145D" w14:textId="77777777" w:rsidTr="002651E8">
        <w:tc>
          <w:tcPr>
            <w:tcW w:w="2552" w:type="dxa"/>
            <w:hideMark/>
          </w:tcPr>
          <w:p w14:paraId="0CBE268C" w14:textId="77777777" w:rsidR="00733A7C" w:rsidRDefault="00733A7C" w:rsidP="008847F0">
            <w:pPr>
              <w:jc w:val="left"/>
              <w:rPr>
                <w:b/>
                <w:color w:val="C00000"/>
                <w:sz w:val="24"/>
                <w:szCs w:val="24"/>
              </w:rPr>
            </w:pPr>
            <w:r w:rsidRPr="00296283">
              <w:rPr>
                <w:b/>
                <w:color w:val="002060"/>
                <w:sz w:val="24"/>
                <w:szCs w:val="24"/>
              </w:rPr>
              <w:t>Dr Brett Freudenberg</w:t>
            </w:r>
          </w:p>
        </w:tc>
        <w:tc>
          <w:tcPr>
            <w:tcW w:w="2693" w:type="dxa"/>
            <w:hideMark/>
          </w:tcPr>
          <w:p w14:paraId="75D97C68" w14:textId="77777777" w:rsidR="00733A7C" w:rsidRDefault="00733A7C" w:rsidP="008847F0">
            <w:pPr>
              <w:jc w:val="left"/>
              <w:rPr>
                <w:sz w:val="24"/>
                <w:szCs w:val="24"/>
              </w:rPr>
            </w:pPr>
            <w:r>
              <w:rPr>
                <w:sz w:val="24"/>
                <w:szCs w:val="24"/>
              </w:rPr>
              <w:t>Associate Professor</w:t>
            </w:r>
          </w:p>
        </w:tc>
        <w:tc>
          <w:tcPr>
            <w:tcW w:w="4467" w:type="dxa"/>
            <w:hideMark/>
          </w:tcPr>
          <w:p w14:paraId="3386A0C9" w14:textId="77777777" w:rsidR="00733A7C" w:rsidRDefault="00733A7C" w:rsidP="008847F0">
            <w:pPr>
              <w:jc w:val="left"/>
              <w:rPr>
                <w:sz w:val="24"/>
                <w:szCs w:val="24"/>
              </w:rPr>
            </w:pPr>
            <w:r>
              <w:rPr>
                <w:sz w:val="24"/>
                <w:szCs w:val="24"/>
              </w:rPr>
              <w:t>Griffith Business School, Griffith University</w:t>
            </w:r>
          </w:p>
        </w:tc>
      </w:tr>
    </w:tbl>
    <w:p w14:paraId="6A5C9886" w14:textId="77777777" w:rsidR="001E1198" w:rsidRPr="002651E8" w:rsidRDefault="001E1198" w:rsidP="002651E8">
      <w:r>
        <w:br w:type="page"/>
      </w:r>
    </w:p>
    <w:p w14:paraId="6A5C9887" w14:textId="77777777" w:rsidR="00043A4B" w:rsidRDefault="00043A4B">
      <w:pPr>
        <w:pStyle w:val="Heading1"/>
      </w:pPr>
      <w:bookmarkStart w:id="13" w:name="_Toc510006858"/>
      <w:r>
        <w:lastRenderedPageBreak/>
        <w:t>How to participate</w:t>
      </w:r>
      <w:bookmarkEnd w:id="13"/>
    </w:p>
    <w:p w14:paraId="6A5C9888" w14:textId="63F50991" w:rsidR="00043A4B" w:rsidRPr="005044AB" w:rsidRDefault="00F05CA4">
      <w:pPr>
        <w:pStyle w:val="Introductionparagraph"/>
      </w:pPr>
      <w:r w:rsidRPr="005044AB">
        <w:t>T</w:t>
      </w:r>
      <w:r w:rsidR="00B72F60">
        <w:t>he Board invites comment on the consultation questions</w:t>
      </w:r>
      <w:r w:rsidRPr="005044AB">
        <w:t xml:space="preserve"> set out in this consultation guide and looks forward to engaging further with the small business community throughout the course of this review.</w:t>
      </w:r>
    </w:p>
    <w:p w14:paraId="6A5C9889" w14:textId="77777777" w:rsidR="00F05CA4" w:rsidRPr="003A6050" w:rsidRDefault="00FB7622" w:rsidP="003A6050">
      <w:pPr>
        <w:rPr>
          <w:color w:val="C00000"/>
          <w:sz w:val="36"/>
          <w:szCs w:val="36"/>
        </w:rPr>
      </w:pPr>
      <w:r w:rsidRPr="003A6050">
        <w:rPr>
          <w:color w:val="C00000"/>
          <w:sz w:val="36"/>
          <w:szCs w:val="36"/>
        </w:rPr>
        <w:t>C</w:t>
      </w:r>
      <w:r w:rsidR="00F05CA4" w:rsidRPr="003A6050">
        <w:rPr>
          <w:color w:val="C00000"/>
          <w:sz w:val="36"/>
          <w:szCs w:val="36"/>
        </w:rPr>
        <w:t>onsultations</w:t>
      </w:r>
    </w:p>
    <w:p w14:paraId="6A5C988A" w14:textId="12A472DC" w:rsidR="00F05CA4" w:rsidRDefault="00B72F60">
      <w:r>
        <w:t>The</w:t>
      </w:r>
      <w:r w:rsidR="00F05CA4" w:rsidRPr="00F05CA4">
        <w:t xml:space="preserve"> Chair will be holding public </w:t>
      </w:r>
      <w:r w:rsidR="00290C1A">
        <w:t>forums/meetings</w:t>
      </w:r>
      <w:r w:rsidR="001E1198">
        <w:t>.</w:t>
      </w:r>
      <w:r w:rsidR="00D7695C">
        <w:t xml:space="preserve"> </w:t>
      </w:r>
      <w:r w:rsidR="00290C1A">
        <w:t>P</w:t>
      </w:r>
      <w:r w:rsidR="00D7695C">
        <w:t xml:space="preserve">lease check in at </w:t>
      </w:r>
      <w:hyperlink r:id="rId24" w:history="1">
        <w:r w:rsidR="00D7695C" w:rsidRPr="008F2C0D">
          <w:rPr>
            <w:rStyle w:val="Hyperlink"/>
          </w:rPr>
          <w:t>www.taxboard.gov.au</w:t>
        </w:r>
      </w:hyperlink>
      <w:r w:rsidR="00D7695C">
        <w:t xml:space="preserve"> for t</w:t>
      </w:r>
      <w:r w:rsidR="00290C1A">
        <w:t xml:space="preserve">he most up to date information relating to time and location. </w:t>
      </w:r>
    </w:p>
    <w:p w14:paraId="0C3CC6D4" w14:textId="322A517C" w:rsidR="0010478B" w:rsidRPr="00F05CA4" w:rsidRDefault="0010478B">
      <w:r>
        <w:t xml:space="preserve">If you would like to participate in discussions on the small business tax concessions, please express your interest at </w:t>
      </w:r>
      <w:hyperlink r:id="rId25" w:history="1">
        <w:r w:rsidRPr="0043459A">
          <w:rPr>
            <w:rStyle w:val="Hyperlink"/>
          </w:rPr>
          <w:t>taxboard@treasury.gov.au</w:t>
        </w:r>
      </w:hyperlink>
      <w:r>
        <w:t xml:space="preserve">, and let us know where you are located. </w:t>
      </w:r>
    </w:p>
    <w:p w14:paraId="6A5C988C" w14:textId="77777777" w:rsidR="00F05CA4" w:rsidRPr="003A6050" w:rsidRDefault="00F05CA4" w:rsidP="003A6050">
      <w:pPr>
        <w:rPr>
          <w:color w:val="C00000"/>
          <w:sz w:val="36"/>
          <w:szCs w:val="36"/>
        </w:rPr>
      </w:pPr>
      <w:r w:rsidRPr="003A6050">
        <w:rPr>
          <w:color w:val="C00000"/>
          <w:sz w:val="36"/>
          <w:szCs w:val="36"/>
        </w:rPr>
        <w:t>Submissions</w:t>
      </w:r>
    </w:p>
    <w:p w14:paraId="6A5C988D" w14:textId="6741F2BB" w:rsidR="00F05CA4" w:rsidRDefault="00F05CA4">
      <w:r w:rsidRPr="00F05CA4">
        <w:t xml:space="preserve">The Board invites interested parties to make </w:t>
      </w:r>
      <w:r w:rsidR="003208DA">
        <w:t xml:space="preserve">written </w:t>
      </w:r>
      <w:r w:rsidRPr="00F05CA4">
        <w:t>submissions to this review until</w:t>
      </w:r>
      <w:r w:rsidR="00290C1A">
        <w:t xml:space="preserve"> Friday 20 July</w:t>
      </w:r>
      <w:r w:rsidRPr="00F05CA4">
        <w:t xml:space="preserve">. Submissions can be made </w:t>
      </w:r>
      <w:r w:rsidR="00290C1A">
        <w:t>to</w:t>
      </w:r>
      <w:hyperlink r:id="rId26" w:history="1">
        <w:r w:rsidR="00290C1A" w:rsidRPr="0043459A">
          <w:rPr>
            <w:rStyle w:val="Hyperlink"/>
          </w:rPr>
          <w:t xml:space="preserve"> taxboard@treasury.gov.au</w:t>
        </w:r>
      </w:hyperlink>
      <w:r w:rsidRPr="00F05CA4">
        <w:t xml:space="preserve"> or addressed to the Treasury’s Melbourne office below.</w:t>
      </w:r>
    </w:p>
    <w:p w14:paraId="6A5C988E" w14:textId="77777777" w:rsidR="00F05CA4" w:rsidRPr="003A6050" w:rsidRDefault="00F05CA4" w:rsidP="003A6050">
      <w:pPr>
        <w:rPr>
          <w:color w:val="C00000"/>
          <w:sz w:val="36"/>
          <w:szCs w:val="36"/>
        </w:rPr>
      </w:pPr>
      <w:r w:rsidRPr="003A6050">
        <w:rPr>
          <w:color w:val="C00000"/>
          <w:sz w:val="36"/>
          <w:szCs w:val="36"/>
        </w:rPr>
        <w:t>Contact information</w:t>
      </w:r>
    </w:p>
    <w:p w14:paraId="6A5C988F" w14:textId="71B7C3AA" w:rsidR="00F05CA4" w:rsidRPr="00F05CA4" w:rsidRDefault="00F05CA4">
      <w:r w:rsidRPr="00F05CA4">
        <w:t>The Board is supported by a sec</w:t>
      </w:r>
      <w:r w:rsidR="002651E8">
        <w:t>retariat based in the Treasury.</w:t>
      </w:r>
    </w:p>
    <w:p w14:paraId="6A5C9890" w14:textId="77777777" w:rsidR="00F05CA4" w:rsidRPr="00F05CA4" w:rsidRDefault="00F05CA4">
      <w:r w:rsidRPr="00F05CA4">
        <w:t>Board of Taxation Secretariat</w:t>
      </w:r>
    </w:p>
    <w:p w14:paraId="6A5C9891" w14:textId="77777777" w:rsidR="00F05CA4" w:rsidRPr="00F05CA4" w:rsidRDefault="00F05CA4">
      <w:r w:rsidRPr="00F05CA4">
        <w:t>The Treasury – Melbourne Office</w:t>
      </w:r>
    </w:p>
    <w:p w14:paraId="6A5C9892" w14:textId="77777777" w:rsidR="00F05CA4" w:rsidRPr="00F05CA4" w:rsidRDefault="00F05CA4">
      <w:r w:rsidRPr="00F05CA4">
        <w:t>Level 6, 120 Collins Street</w:t>
      </w:r>
    </w:p>
    <w:p w14:paraId="6A5C9893" w14:textId="77777777" w:rsidR="00F05CA4" w:rsidRDefault="00F05CA4">
      <w:r w:rsidRPr="00F05CA4">
        <w:t>Melbourne VIC 3121</w:t>
      </w:r>
    </w:p>
    <w:p w14:paraId="6809CEB7" w14:textId="17C98123" w:rsidR="00290C1A" w:rsidRDefault="00290C1A">
      <w:hyperlink r:id="rId27" w:history="1">
        <w:r w:rsidRPr="0043459A">
          <w:rPr>
            <w:rStyle w:val="Hyperlink"/>
          </w:rPr>
          <w:t>taxboard@treasury.gov.au</w:t>
        </w:r>
      </w:hyperlink>
    </w:p>
    <w:p w14:paraId="6A5C9895" w14:textId="77777777" w:rsidR="00043A4B" w:rsidRPr="00043A4B" w:rsidRDefault="00F05CA4">
      <w:r w:rsidRPr="00F05CA4">
        <w:t>Phone: (02) 6263 4366</w:t>
      </w:r>
    </w:p>
    <w:sectPr w:rsidR="00043A4B" w:rsidRPr="00043A4B" w:rsidSect="00DC77BA">
      <w:headerReference w:type="even" r:id="rId28"/>
      <w:pgSz w:w="11906" w:h="16838" w:code="9"/>
      <w:pgMar w:top="2835" w:right="1134" w:bottom="1418" w:left="1134"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9E2CC" w14:textId="77777777" w:rsidR="00F711DF" w:rsidRDefault="00F711DF">
      <w:pPr>
        <w:spacing w:before="0" w:after="0"/>
      </w:pPr>
      <w:r>
        <w:separator/>
      </w:r>
    </w:p>
  </w:endnote>
  <w:endnote w:type="continuationSeparator" w:id="0">
    <w:p w14:paraId="479213D8" w14:textId="77777777" w:rsidR="00F711DF" w:rsidRDefault="00F711DF">
      <w:pPr>
        <w:spacing w:before="0" w:after="0"/>
      </w:pPr>
      <w:r>
        <w:continuationSeparator/>
      </w:r>
    </w:p>
  </w:endnote>
  <w:endnote w:type="continuationNotice" w:id="1">
    <w:p w14:paraId="4B41E302" w14:textId="77777777" w:rsidR="00B92823" w:rsidRDefault="00B928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98AA" w14:textId="77777777" w:rsidR="00F711DF" w:rsidRDefault="00F711DF" w:rsidP="003C24B4">
    <w:pPr>
      <w:pStyle w:val="FooterEven"/>
    </w:pPr>
    <w:r>
      <w:rPr>
        <w:noProof w:val="0"/>
      </w:rPr>
      <w:fldChar w:fldCharType="begin"/>
    </w:r>
    <w:r>
      <w:instrText xml:space="preserve"> PAGE   \* MERGEFORMAT </w:instrText>
    </w:r>
    <w:r>
      <w:rPr>
        <w:noProof w:val="0"/>
      </w:rPr>
      <w:fldChar w:fldCharType="separate"/>
    </w:r>
    <w:r>
      <w:t>4</w:t>
    </w:r>
    <w:r>
      <w:fldChar w:fldCharType="end"/>
    </w:r>
    <w:r>
      <w:t xml:space="preserve"> </w:t>
    </w:r>
    <w:r w:rsidRPr="00043A4B">
      <w:rPr>
        <w:color w:val="7F7F7F" w:themeColor="text1" w:themeTint="80"/>
      </w:rPr>
      <w:t>Consultation Guide |</w:t>
    </w:r>
    <w:r w:rsidRPr="00043A4B">
      <w:t xml:space="preserve"> Review of Small Business Tax Concessions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98AD" w14:textId="77777777" w:rsidR="00F711DF" w:rsidRDefault="00F711DF" w:rsidP="002D340B">
    <w:pPr>
      <w:pStyle w:val="Footer"/>
    </w:pPr>
    <w:r w:rsidRPr="007929CA">
      <w:rPr>
        <w:noProof/>
        <w:color w:val="7F7F7F" w:themeColor="text1" w:themeTint="80"/>
      </w:rPr>
      <mc:AlternateContent>
        <mc:Choice Requires="wps">
          <w:drawing>
            <wp:anchor distT="0" distB="0" distL="114300" distR="114300" simplePos="0" relativeHeight="251664384" behindDoc="0" locked="0" layoutInCell="1" allowOverlap="1" wp14:anchorId="6A5C98B8" wp14:editId="6A5C98B9">
              <wp:simplePos x="0" y="0"/>
              <wp:positionH relativeFrom="column">
                <wp:posOffset>467995</wp:posOffset>
              </wp:positionH>
              <wp:positionV relativeFrom="paragraph">
                <wp:posOffset>252095</wp:posOffset>
              </wp:positionV>
              <wp:extent cx="4428000" cy="412200"/>
              <wp:effectExtent l="0" t="0" r="0" b="698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000" cy="412200"/>
                      </a:xfrm>
                      <a:prstGeom prst="rect">
                        <a:avLst/>
                      </a:prstGeom>
                      <a:solidFill>
                        <a:srgbClr val="FFFFFF"/>
                      </a:solidFill>
                      <a:ln w="9525">
                        <a:noFill/>
                        <a:miter lim="800000"/>
                        <a:headEnd/>
                        <a:tailEnd/>
                      </a:ln>
                    </wps:spPr>
                    <wps:txbx>
                      <w:txbxContent>
                        <w:p w14:paraId="6A5C98E2" w14:textId="77777777" w:rsidR="00F711DF" w:rsidRDefault="00F711DF" w:rsidP="002D340B">
                          <w:pPr>
                            <w:pStyle w:val="FooterEven"/>
                          </w:pPr>
                          <w:r>
                            <w:rPr>
                              <w:color w:val="7F7F7F" w:themeColor="text1" w:themeTint="80"/>
                            </w:rPr>
                            <w:t>C</w:t>
                          </w:r>
                          <w:r w:rsidRPr="00043A4B">
                            <w:rPr>
                              <w:color w:val="7F7F7F" w:themeColor="text1" w:themeTint="80"/>
                            </w:rPr>
                            <w:t>onsultation Guide |</w:t>
                          </w:r>
                          <w:r w:rsidRPr="00043A4B">
                            <w:t xml:space="preserve"> Review of Small Business Tax Concessions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36.85pt;margin-top:19.85pt;width:348.65pt;height:3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" stroked="f">
              <v:textbox>
                <w:txbxContent>
                  <w:p w14:paraId="6A5C98E2" w14:textId="77777777" w:rsidR="00F711DF" w:rsidRDefault="00F711DF" w:rsidP="002D340B">
                    <w:pPr>
                      <w:pStyle w:val="FooterEven"/>
                    </w:pPr>
                    <w:r>
                      <w:rPr>
                        <w:color w:val="7F7F7F" w:themeColor="text1" w:themeTint="80"/>
                      </w:rPr>
                      <w:t>C</w:t>
                    </w:r>
                    <w:r w:rsidRPr="00043A4B">
                      <w:rPr>
                        <w:color w:val="7F7F7F" w:themeColor="text1" w:themeTint="80"/>
                      </w:rPr>
                      <w:t>onsultation Guide |</w:t>
                    </w:r>
                    <w:r w:rsidRPr="00043A4B">
                      <w:t xml:space="preserve"> Review of Small Business Tax Concessions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A5C98BA" wp14:editId="6A5C98BB">
              <wp:simplePos x="0" y="0"/>
              <wp:positionH relativeFrom="column">
                <wp:posOffset>0</wp:posOffset>
              </wp:positionH>
              <wp:positionV relativeFrom="paragraph">
                <wp:posOffset>252095</wp:posOffset>
              </wp:positionV>
              <wp:extent cx="431280" cy="431280"/>
              <wp:effectExtent l="0" t="0" r="6985" b="69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80" cy="431280"/>
                      </a:xfrm>
                      <a:prstGeom prst="rect">
                        <a:avLst/>
                      </a:prstGeom>
                      <a:solidFill>
                        <a:srgbClr val="002060"/>
                      </a:solidFill>
                      <a:ln w="9525">
                        <a:noFill/>
                        <a:miter lim="800000"/>
                        <a:headEnd/>
                        <a:tailEnd/>
                      </a:ln>
                    </wps:spPr>
                    <wps:txbx>
                      <w:txbxContent>
                        <w:p w14:paraId="6A5C98E3" w14:textId="77777777" w:rsidR="00F711DF" w:rsidRPr="004B2B98" w:rsidRDefault="00F711DF" w:rsidP="002D340B">
                          <w:pPr>
                            <w:jc w:val="center"/>
                            <w:rPr>
                              <w:color w:val="FFFFFF" w:themeColor="background1"/>
                              <w:szCs w:val="22"/>
                            </w:rPr>
                          </w:pPr>
                          <w:r w:rsidRPr="004B2B98">
                            <w:rPr>
                              <w:color w:val="FFFFFF" w:themeColor="background1"/>
                              <w:szCs w:val="22"/>
                            </w:rPr>
                            <w:fldChar w:fldCharType="begin"/>
                          </w:r>
                          <w:r w:rsidRPr="004B2B98">
                            <w:rPr>
                              <w:color w:val="FFFFFF" w:themeColor="background1"/>
                              <w:szCs w:val="22"/>
                            </w:rPr>
                            <w:instrText xml:space="preserve"> PAGE   \* MERGEFORMAT </w:instrText>
                          </w:r>
                          <w:r w:rsidRPr="004B2B98">
                            <w:rPr>
                              <w:color w:val="FFFFFF" w:themeColor="background1"/>
                              <w:szCs w:val="22"/>
                            </w:rPr>
                            <w:fldChar w:fldCharType="separate"/>
                          </w:r>
                          <w:r w:rsidR="00C114D0">
                            <w:rPr>
                              <w:noProof/>
                              <w:color w:val="FFFFFF" w:themeColor="background1"/>
                              <w:szCs w:val="22"/>
                            </w:rPr>
                            <w:t>6</w:t>
                          </w:r>
                          <w:r w:rsidRPr="004B2B98">
                            <w:rPr>
                              <w:noProof/>
                              <w:color w:val="FFFFFF" w:themeColor="background1"/>
                              <w:szCs w:val="22"/>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0;margin-top:19.85pt;width:33.95pt;height:3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" fillcolor="#002060" stroked="f">
              <v:textbox>
                <w:txbxContent>
                  <w:p w14:paraId="6A5C98E3" w14:textId="77777777" w:rsidR="00F711DF" w:rsidRPr="004B2B98" w:rsidRDefault="00F711DF" w:rsidP="002D340B">
                    <w:pPr>
                      <w:jc w:val="center"/>
                      <w:rPr>
                        <w:color w:val="FFFFFF" w:themeColor="background1"/>
                        <w:szCs w:val="22"/>
                      </w:rPr>
                    </w:pPr>
                    <w:r w:rsidRPr="004B2B98">
                      <w:rPr>
                        <w:color w:val="FFFFFF" w:themeColor="background1"/>
                        <w:szCs w:val="22"/>
                      </w:rPr>
                      <w:fldChar w:fldCharType="begin"/>
                    </w:r>
                    <w:r w:rsidRPr="004B2B98">
                      <w:rPr>
                        <w:color w:val="FFFFFF" w:themeColor="background1"/>
                        <w:szCs w:val="22"/>
                      </w:rPr>
                      <w:instrText xml:space="preserve"> PAGE   \* MERGEFORMAT </w:instrText>
                    </w:r>
                    <w:r w:rsidRPr="004B2B98">
                      <w:rPr>
                        <w:color w:val="FFFFFF" w:themeColor="background1"/>
                        <w:szCs w:val="22"/>
                      </w:rPr>
                      <w:fldChar w:fldCharType="separate"/>
                    </w:r>
                    <w:r w:rsidR="00C114D0">
                      <w:rPr>
                        <w:noProof/>
                        <w:color w:val="FFFFFF" w:themeColor="background1"/>
                        <w:szCs w:val="22"/>
                      </w:rPr>
                      <w:t>6</w:t>
                    </w:r>
                    <w:r w:rsidRPr="004B2B98">
                      <w:rPr>
                        <w:noProof/>
                        <w:color w:val="FFFFFF" w:themeColor="background1"/>
                        <w:szCs w:val="22"/>
                      </w:rPr>
                      <w:fldChar w:fldCharType="end"/>
                    </w:r>
                  </w:p>
                </w:txbxContent>
              </v:textbox>
            </v:shape>
          </w:pict>
        </mc:Fallback>
      </mc:AlternateContent>
    </w:r>
    <w:r>
      <w:rPr>
        <w:noProof/>
      </w:rPr>
      <w:drawing>
        <wp:inline distT="0" distB="0" distL="0" distR="0" wp14:anchorId="6A5C98BC" wp14:editId="6A5C98BD">
          <wp:extent cx="6120130" cy="1327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s th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3271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98AE" w14:textId="77777777" w:rsidR="00F711DF" w:rsidRDefault="00F711DF" w:rsidP="00043A4B">
    <w:pPr>
      <w:pStyle w:val="FooterOdd"/>
      <w:rPr>
        <w:color w:val="7F7F7F" w:themeColor="text1" w:themeTint="80"/>
      </w:rPr>
    </w:pPr>
    <w:r w:rsidRPr="007929CA">
      <w:rPr>
        <w:noProof/>
        <w:color w:val="7F7F7F" w:themeColor="text1" w:themeTint="80"/>
      </w:rPr>
      <mc:AlternateContent>
        <mc:Choice Requires="wps">
          <w:drawing>
            <wp:anchor distT="0" distB="0" distL="114300" distR="114300" simplePos="0" relativeHeight="251660288" behindDoc="0" locked="0" layoutInCell="1" allowOverlap="1" wp14:anchorId="6A5C98BE" wp14:editId="6A5C98BF">
              <wp:simplePos x="0" y="0"/>
              <wp:positionH relativeFrom="column">
                <wp:posOffset>1213485</wp:posOffset>
              </wp:positionH>
              <wp:positionV relativeFrom="paragraph">
                <wp:posOffset>275590</wp:posOffset>
              </wp:positionV>
              <wp:extent cx="4429125" cy="412115"/>
              <wp:effectExtent l="0" t="0" r="952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12115"/>
                      </a:xfrm>
                      <a:prstGeom prst="rect">
                        <a:avLst/>
                      </a:prstGeom>
                      <a:solidFill>
                        <a:srgbClr val="FFFFFF"/>
                      </a:solidFill>
                      <a:ln w="9525">
                        <a:noFill/>
                        <a:miter lim="800000"/>
                        <a:headEnd/>
                        <a:tailEnd/>
                      </a:ln>
                    </wps:spPr>
                    <wps:txbx>
                      <w:txbxContent>
                        <w:p w14:paraId="6A5C98E4" w14:textId="77777777" w:rsidR="00F711DF" w:rsidRDefault="00F711DF" w:rsidP="007929CA">
                          <w:pPr>
                            <w:pStyle w:val="FooterOdd"/>
                          </w:pPr>
                          <w:r>
                            <w:rPr>
                              <w:color w:val="7F7F7F" w:themeColor="text1" w:themeTint="80"/>
                            </w:rPr>
                            <w:t>C</w:t>
                          </w:r>
                          <w:r w:rsidRPr="00043A4B">
                            <w:rPr>
                              <w:color w:val="7F7F7F" w:themeColor="text1" w:themeTint="80"/>
                            </w:rPr>
                            <w:t>onsultation Guide |</w:t>
                          </w:r>
                          <w:r w:rsidRPr="00043A4B">
                            <w:t xml:space="preserve"> Review of Small Business Tax Concessions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95.55pt;margin-top:21.7pt;width:348.75pt;height:3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" stroked="f">
              <v:textbox>
                <w:txbxContent>
                  <w:p w14:paraId="6A5C98E4" w14:textId="77777777" w:rsidR="00F711DF" w:rsidRDefault="00F711DF" w:rsidP="007929CA">
                    <w:pPr>
                      <w:pStyle w:val="FooterOdd"/>
                    </w:pPr>
                    <w:r>
                      <w:rPr>
                        <w:color w:val="7F7F7F" w:themeColor="text1" w:themeTint="80"/>
                      </w:rPr>
                      <w:t>C</w:t>
                    </w:r>
                    <w:r w:rsidRPr="00043A4B">
                      <w:rPr>
                        <w:color w:val="7F7F7F" w:themeColor="text1" w:themeTint="80"/>
                      </w:rPr>
                      <w:t>onsultation Guide |</w:t>
                    </w:r>
                    <w:r w:rsidRPr="00043A4B">
                      <w:t xml:space="preserve"> Review of Small Business Tax Concessions</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A5C98C0" wp14:editId="6A5C98C1">
              <wp:simplePos x="0" y="0"/>
              <wp:positionH relativeFrom="column">
                <wp:posOffset>5688965</wp:posOffset>
              </wp:positionH>
              <wp:positionV relativeFrom="paragraph">
                <wp:posOffset>252095</wp:posOffset>
              </wp:positionV>
              <wp:extent cx="431640" cy="431640"/>
              <wp:effectExtent l="0" t="0" r="698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40" cy="431640"/>
                      </a:xfrm>
                      <a:prstGeom prst="rect">
                        <a:avLst/>
                      </a:prstGeom>
                      <a:solidFill>
                        <a:srgbClr val="002060"/>
                      </a:solidFill>
                      <a:ln w="9525">
                        <a:noFill/>
                        <a:miter lim="800000"/>
                        <a:headEnd/>
                        <a:tailEnd/>
                      </a:ln>
                    </wps:spPr>
                    <wps:txbx>
                      <w:txbxContent>
                        <w:p w14:paraId="6A5C98E5" w14:textId="77777777" w:rsidR="00F711DF" w:rsidRPr="004B2B98" w:rsidRDefault="00F711DF" w:rsidP="009A5F0D">
                          <w:pPr>
                            <w:jc w:val="center"/>
                            <w:rPr>
                              <w:color w:val="FFFFFF" w:themeColor="background1"/>
                              <w:szCs w:val="22"/>
                            </w:rPr>
                          </w:pPr>
                          <w:r w:rsidRPr="004B2B98">
                            <w:rPr>
                              <w:color w:val="FFFFFF" w:themeColor="background1"/>
                              <w:szCs w:val="22"/>
                            </w:rPr>
                            <w:fldChar w:fldCharType="begin"/>
                          </w:r>
                          <w:r w:rsidRPr="004B2B98">
                            <w:rPr>
                              <w:color w:val="FFFFFF" w:themeColor="background1"/>
                              <w:szCs w:val="22"/>
                            </w:rPr>
                            <w:instrText xml:space="preserve"> PAGE   \* MERGEFORMAT </w:instrText>
                          </w:r>
                          <w:r w:rsidRPr="004B2B98">
                            <w:rPr>
                              <w:color w:val="FFFFFF" w:themeColor="background1"/>
                              <w:szCs w:val="22"/>
                            </w:rPr>
                            <w:fldChar w:fldCharType="separate"/>
                          </w:r>
                          <w:r w:rsidR="00C114D0">
                            <w:rPr>
                              <w:noProof/>
                              <w:color w:val="FFFFFF" w:themeColor="background1"/>
                              <w:szCs w:val="22"/>
                            </w:rPr>
                            <w:t>7</w:t>
                          </w:r>
                          <w:r w:rsidRPr="004B2B98">
                            <w:rPr>
                              <w:noProof/>
                              <w:color w:val="FFFFFF" w:themeColor="background1"/>
                              <w:szCs w:val="22"/>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447.95pt;margin-top:19.85pt;width:34pt;height: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" fillcolor="#002060" stroked="f">
              <v:textbox>
                <w:txbxContent>
                  <w:p w14:paraId="6A5C98E5" w14:textId="77777777" w:rsidR="00F711DF" w:rsidRPr="004B2B98" w:rsidRDefault="00F711DF" w:rsidP="009A5F0D">
                    <w:pPr>
                      <w:jc w:val="center"/>
                      <w:rPr>
                        <w:color w:val="FFFFFF" w:themeColor="background1"/>
                        <w:szCs w:val="22"/>
                      </w:rPr>
                    </w:pPr>
                    <w:r w:rsidRPr="004B2B98">
                      <w:rPr>
                        <w:color w:val="FFFFFF" w:themeColor="background1"/>
                        <w:szCs w:val="22"/>
                      </w:rPr>
                      <w:fldChar w:fldCharType="begin"/>
                    </w:r>
                    <w:r w:rsidRPr="004B2B98">
                      <w:rPr>
                        <w:color w:val="FFFFFF" w:themeColor="background1"/>
                        <w:szCs w:val="22"/>
                      </w:rPr>
                      <w:instrText xml:space="preserve"> PAGE   \* MERGEFORMAT </w:instrText>
                    </w:r>
                    <w:r w:rsidRPr="004B2B98">
                      <w:rPr>
                        <w:color w:val="FFFFFF" w:themeColor="background1"/>
                        <w:szCs w:val="22"/>
                      </w:rPr>
                      <w:fldChar w:fldCharType="separate"/>
                    </w:r>
                    <w:r w:rsidR="00C114D0">
                      <w:rPr>
                        <w:noProof/>
                        <w:color w:val="FFFFFF" w:themeColor="background1"/>
                        <w:szCs w:val="22"/>
                      </w:rPr>
                      <w:t>7</w:t>
                    </w:r>
                    <w:r w:rsidRPr="004B2B98">
                      <w:rPr>
                        <w:noProof/>
                        <w:color w:val="FFFFFF" w:themeColor="background1"/>
                        <w:szCs w:val="22"/>
                      </w:rPr>
                      <w:fldChar w:fldCharType="end"/>
                    </w:r>
                  </w:p>
                </w:txbxContent>
              </v:textbox>
            </v:shape>
          </w:pict>
        </mc:Fallback>
      </mc:AlternateContent>
    </w:r>
    <w:r>
      <w:rPr>
        <w:noProof/>
        <w:color w:val="000000" w:themeColor="text1"/>
      </w:rPr>
      <w:drawing>
        <wp:anchor distT="0" distB="0" distL="114300" distR="114300" simplePos="0" relativeHeight="251658240" behindDoc="1" locked="0" layoutInCell="1" allowOverlap="1" wp14:anchorId="6A5C98C2" wp14:editId="6A5C98C3">
          <wp:simplePos x="0" y="0"/>
          <wp:positionH relativeFrom="column">
            <wp:posOffset>3810</wp:posOffset>
          </wp:positionH>
          <wp:positionV relativeFrom="paragraph">
            <wp:posOffset>34925</wp:posOffset>
          </wp:positionV>
          <wp:extent cx="6119640" cy="132840"/>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s th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640" cy="13284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98B0" w14:textId="77777777" w:rsidR="00F711DF" w:rsidRDefault="00F71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8D2B5" w14:textId="77777777" w:rsidR="00F711DF" w:rsidRDefault="00F711DF">
      <w:pPr>
        <w:spacing w:before="0" w:after="0"/>
      </w:pPr>
      <w:r>
        <w:separator/>
      </w:r>
    </w:p>
  </w:footnote>
  <w:footnote w:type="continuationSeparator" w:id="0">
    <w:p w14:paraId="68F98E5B" w14:textId="77777777" w:rsidR="00F711DF" w:rsidRDefault="00F711DF">
      <w:pPr>
        <w:spacing w:before="0" w:after="0"/>
      </w:pPr>
      <w:r>
        <w:continuationSeparator/>
      </w:r>
    </w:p>
  </w:footnote>
  <w:footnote w:type="continuationNotice" w:id="1">
    <w:p w14:paraId="7BDD83DA" w14:textId="77777777" w:rsidR="00B92823" w:rsidRDefault="00B9282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98AB" w14:textId="77777777" w:rsidR="00F711DF" w:rsidRPr="001F3912" w:rsidRDefault="00F711DF" w:rsidP="00B37C6C">
    <w:r>
      <w:rPr>
        <w:noProof/>
      </w:rPr>
      <w:drawing>
        <wp:anchor distT="0" distB="0" distL="114300" distR="114300" simplePos="0" relativeHeight="251652096" behindDoc="1" locked="0" layoutInCell="1" allowOverlap="1" wp14:anchorId="6A5C98B3" wp14:editId="6A5C98B4">
          <wp:simplePos x="723900" y="523875"/>
          <wp:positionH relativeFrom="page">
            <wp:align>center</wp:align>
          </wp:positionH>
          <wp:positionV relativeFrom="page">
            <wp:align>top</wp:align>
          </wp:positionV>
          <wp:extent cx="7560360" cy="181224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_no 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812240"/>
                  </a:xfrm>
                  <a:prstGeom prst="rect">
                    <a:avLst/>
                  </a:prstGeom>
                </pic:spPr>
              </pic:pic>
            </a:graphicData>
          </a:graphic>
          <wp14:sizeRelH relativeFrom="margin">
            <wp14:pctWidth>0</wp14:pctWidth>
          </wp14:sizeRelH>
          <wp14:sizeRelV relativeFrom="margin">
            <wp14:pctHeight>0</wp14:pctHeight>
          </wp14:sizeRelV>
        </wp:anchor>
      </w:drawing>
    </w:r>
    <w:r w:rsidRPr="001F391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98AC" w14:textId="6F63193B" w:rsidR="00F711DF" w:rsidRPr="00B37C6C" w:rsidRDefault="00F711DF" w:rsidP="00B37C6C">
    <w:r>
      <w:rPr>
        <w:noProof/>
      </w:rPr>
      <w:drawing>
        <wp:anchor distT="0" distB="0" distL="114300" distR="114300" simplePos="0" relativeHeight="251654144" behindDoc="1" locked="0" layoutInCell="1" allowOverlap="1" wp14:anchorId="6A5C98B6" wp14:editId="6A5C98B7">
          <wp:simplePos x="723900" y="523875"/>
          <wp:positionH relativeFrom="page">
            <wp:align>center</wp:align>
          </wp:positionH>
          <wp:positionV relativeFrom="page">
            <wp:align>top</wp:align>
          </wp:positionV>
          <wp:extent cx="7560360" cy="181224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_no 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8122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98AF" w14:textId="77777777" w:rsidR="00F711DF" w:rsidRPr="00A24FB1" w:rsidRDefault="00F711DF" w:rsidP="00A24F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98B1" w14:textId="77777777" w:rsidR="00F711DF" w:rsidRDefault="00F711DF" w:rsidP="00B37C6C"/>
  <w:p w14:paraId="6A5C98B2" w14:textId="77777777" w:rsidR="00F711DF" w:rsidRPr="001F3912" w:rsidRDefault="00F711DF" w:rsidP="00B37C6C">
    <w:r>
      <w:rPr>
        <w:noProof/>
      </w:rPr>
      <w:drawing>
        <wp:anchor distT="0" distB="0" distL="114300" distR="114300" simplePos="0" relativeHeight="251658242" behindDoc="1" locked="0" layoutInCell="1" allowOverlap="1" wp14:anchorId="6A5C98C4" wp14:editId="6A5C98C5">
          <wp:simplePos x="723900" y="523875"/>
          <wp:positionH relativeFrom="page">
            <wp:align>center</wp:align>
          </wp:positionH>
          <wp:positionV relativeFrom="page">
            <wp:align>top</wp:align>
          </wp:positionV>
          <wp:extent cx="7560360" cy="181224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_no 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812240"/>
                  </a:xfrm>
                  <a:prstGeom prst="rect">
                    <a:avLst/>
                  </a:prstGeom>
                </pic:spPr>
              </pic:pic>
            </a:graphicData>
          </a:graphic>
          <wp14:sizeRelH relativeFrom="margin">
            <wp14:pctWidth>0</wp14:pctWidth>
          </wp14:sizeRelH>
          <wp14:sizeRelV relativeFrom="margin">
            <wp14:pctHeight>0</wp14:pctHeight>
          </wp14:sizeRelV>
        </wp:anchor>
      </w:drawing>
    </w:r>
    <w:r w:rsidRPr="001F391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10D0"/>
    <w:multiLevelType w:val="hybridMultilevel"/>
    <w:tmpl w:val="6F78EC9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1A4235"/>
    <w:multiLevelType w:val="hybridMultilevel"/>
    <w:tmpl w:val="348422B4"/>
    <w:lvl w:ilvl="0" w:tplc="0C090013">
      <w:start w:val="1"/>
      <w:numFmt w:val="upperRoman"/>
      <w:lvlText w:val="%1."/>
      <w:lvlJc w:val="right"/>
      <w:pPr>
        <w:ind w:left="2291" w:hanging="360"/>
      </w:p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2">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DC334F4"/>
    <w:multiLevelType w:val="hybridMultilevel"/>
    <w:tmpl w:val="32960D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CC4E5D"/>
    <w:multiLevelType w:val="multilevel"/>
    <w:tmpl w:val="D10E9CF6"/>
    <w:numStyleLink w:val="OneLevelList"/>
  </w:abstractNum>
  <w:abstractNum w:abstractNumId="7">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BED0D02"/>
    <w:multiLevelType w:val="hybridMultilevel"/>
    <w:tmpl w:val="6D0CD3F2"/>
    <w:lvl w:ilvl="0" w:tplc="266413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101473"/>
    <w:multiLevelType w:val="hybridMultilevel"/>
    <w:tmpl w:val="88FA6B14"/>
    <w:lvl w:ilvl="0" w:tplc="0C090013">
      <w:start w:val="1"/>
      <w:numFmt w:val="upperRoman"/>
      <w:lvlText w:val="%1."/>
      <w:lvlJc w:val="right"/>
      <w:pPr>
        <w:ind w:left="2291" w:hanging="360"/>
      </w:p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10">
    <w:nsid w:val="1E166D2C"/>
    <w:multiLevelType w:val="multilevel"/>
    <w:tmpl w:val="8E6C30F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14F15A1"/>
    <w:multiLevelType w:val="hybridMultilevel"/>
    <w:tmpl w:val="7F347560"/>
    <w:lvl w:ilvl="0" w:tplc="446AE62C">
      <w:start w:val="1"/>
      <w:numFmt w:val="decimal"/>
      <w:lvlText w:val="%1."/>
      <w:lvlJc w:val="left"/>
      <w:pPr>
        <w:tabs>
          <w:tab w:val="num" w:pos="360"/>
        </w:tabs>
        <w:ind w:left="360" w:hanging="360"/>
      </w:pPr>
    </w:lvl>
    <w:lvl w:ilvl="1" w:tplc="E7AC6F12" w:tentative="1">
      <w:start w:val="1"/>
      <w:numFmt w:val="decimal"/>
      <w:lvlText w:val="%2."/>
      <w:lvlJc w:val="left"/>
      <w:pPr>
        <w:tabs>
          <w:tab w:val="num" w:pos="1080"/>
        </w:tabs>
        <w:ind w:left="1080" w:hanging="360"/>
      </w:pPr>
    </w:lvl>
    <w:lvl w:ilvl="2" w:tplc="684473BA" w:tentative="1">
      <w:start w:val="1"/>
      <w:numFmt w:val="decimal"/>
      <w:lvlText w:val="%3."/>
      <w:lvlJc w:val="left"/>
      <w:pPr>
        <w:tabs>
          <w:tab w:val="num" w:pos="1800"/>
        </w:tabs>
        <w:ind w:left="1800" w:hanging="360"/>
      </w:pPr>
    </w:lvl>
    <w:lvl w:ilvl="3" w:tplc="36FA6F6A" w:tentative="1">
      <w:start w:val="1"/>
      <w:numFmt w:val="decimal"/>
      <w:lvlText w:val="%4."/>
      <w:lvlJc w:val="left"/>
      <w:pPr>
        <w:tabs>
          <w:tab w:val="num" w:pos="2520"/>
        </w:tabs>
        <w:ind w:left="2520" w:hanging="360"/>
      </w:pPr>
    </w:lvl>
    <w:lvl w:ilvl="4" w:tplc="A61060BA" w:tentative="1">
      <w:start w:val="1"/>
      <w:numFmt w:val="decimal"/>
      <w:lvlText w:val="%5."/>
      <w:lvlJc w:val="left"/>
      <w:pPr>
        <w:tabs>
          <w:tab w:val="num" w:pos="3240"/>
        </w:tabs>
        <w:ind w:left="3240" w:hanging="360"/>
      </w:pPr>
    </w:lvl>
    <w:lvl w:ilvl="5" w:tplc="1F569E9C" w:tentative="1">
      <w:start w:val="1"/>
      <w:numFmt w:val="decimal"/>
      <w:lvlText w:val="%6."/>
      <w:lvlJc w:val="left"/>
      <w:pPr>
        <w:tabs>
          <w:tab w:val="num" w:pos="3960"/>
        </w:tabs>
        <w:ind w:left="3960" w:hanging="360"/>
      </w:pPr>
    </w:lvl>
    <w:lvl w:ilvl="6" w:tplc="2DCE93B8" w:tentative="1">
      <w:start w:val="1"/>
      <w:numFmt w:val="decimal"/>
      <w:lvlText w:val="%7."/>
      <w:lvlJc w:val="left"/>
      <w:pPr>
        <w:tabs>
          <w:tab w:val="num" w:pos="4680"/>
        </w:tabs>
        <w:ind w:left="4680" w:hanging="360"/>
      </w:pPr>
    </w:lvl>
    <w:lvl w:ilvl="7" w:tplc="9C98ECDA" w:tentative="1">
      <w:start w:val="1"/>
      <w:numFmt w:val="decimal"/>
      <w:lvlText w:val="%8."/>
      <w:lvlJc w:val="left"/>
      <w:pPr>
        <w:tabs>
          <w:tab w:val="num" w:pos="5400"/>
        </w:tabs>
        <w:ind w:left="5400" w:hanging="360"/>
      </w:pPr>
    </w:lvl>
    <w:lvl w:ilvl="8" w:tplc="0AC0EC42" w:tentative="1">
      <w:start w:val="1"/>
      <w:numFmt w:val="decimal"/>
      <w:lvlText w:val="%9."/>
      <w:lvlJc w:val="left"/>
      <w:pPr>
        <w:tabs>
          <w:tab w:val="num" w:pos="6120"/>
        </w:tabs>
        <w:ind w:left="6120" w:hanging="360"/>
      </w:pPr>
    </w:lvl>
  </w:abstractNum>
  <w:abstractNum w:abstractNumId="12">
    <w:nsid w:val="25F55399"/>
    <w:multiLevelType w:val="hybridMultilevel"/>
    <w:tmpl w:val="91F287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DDE48DC"/>
    <w:multiLevelType w:val="hybridMultilevel"/>
    <w:tmpl w:val="BD888838"/>
    <w:lvl w:ilvl="0" w:tplc="266413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8C59E5"/>
    <w:multiLevelType w:val="hybridMultilevel"/>
    <w:tmpl w:val="DA72DF8A"/>
    <w:lvl w:ilvl="0" w:tplc="0C090013">
      <w:start w:val="1"/>
      <w:numFmt w:val="upperRoman"/>
      <w:lvlText w:val="%1."/>
      <w:lvlJc w:val="righ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nsid w:val="308C2710"/>
    <w:multiLevelType w:val="multilevel"/>
    <w:tmpl w:val="0D723674"/>
    <w:styleLink w:val="BulletedList"/>
    <w:lvl w:ilvl="0">
      <w:start w:val="1"/>
      <w:numFmt w:val="bullet"/>
      <w:lvlRestart w:val="0"/>
      <w:pStyle w:val="Bullet"/>
      <w:lvlText w:val="•"/>
      <w:lvlJc w:val="left"/>
      <w:pPr>
        <w:tabs>
          <w:tab w:val="num" w:pos="1987"/>
        </w:tabs>
        <w:ind w:left="1987" w:hanging="283"/>
      </w:pPr>
      <w:rPr>
        <w:rFonts w:ascii="Times New Roman" w:hAnsi="Times New Roman" w:cs="Times New Roman" w:hint="default"/>
        <w:b w:val="0"/>
        <w:i w:val="0"/>
      </w:rPr>
    </w:lvl>
    <w:lvl w:ilvl="1">
      <w:start w:val="1"/>
      <w:numFmt w:val="bullet"/>
      <w:pStyle w:val="Dash"/>
      <w:lvlText w:val="–"/>
      <w:lvlJc w:val="left"/>
      <w:pPr>
        <w:tabs>
          <w:tab w:val="num" w:pos="2271"/>
        </w:tabs>
        <w:ind w:left="2271" w:hanging="284"/>
      </w:pPr>
      <w:rPr>
        <w:rFonts w:ascii="Times New Roman" w:hAnsi="Times New Roman" w:cs="Times New Roman" w:hint="default"/>
        <w:b w:val="0"/>
        <w:i w:val="0"/>
      </w:rPr>
    </w:lvl>
    <w:lvl w:ilvl="2">
      <w:start w:val="1"/>
      <w:numFmt w:val="bullet"/>
      <w:pStyle w:val="DoubleDot"/>
      <w:lvlText w:val=":"/>
      <w:lvlJc w:val="left"/>
      <w:pPr>
        <w:tabs>
          <w:tab w:val="num" w:pos="2554"/>
        </w:tabs>
        <w:ind w:left="2554" w:hanging="283"/>
      </w:pPr>
      <w:rPr>
        <w:rFonts w:ascii="Times New Roman" w:hAnsi="Times New Roman" w:cs="Times New Roman" w:hint="default"/>
        <w:b w:val="0"/>
        <w:i w:val="0"/>
      </w:rPr>
    </w:lvl>
    <w:lvl w:ilvl="3">
      <w:start w:val="1"/>
      <w:numFmt w:val="decimal"/>
      <w:lvlText w:val="(%4)"/>
      <w:lvlJc w:val="left"/>
      <w:pPr>
        <w:tabs>
          <w:tab w:val="num" w:pos="3144"/>
        </w:tabs>
        <w:ind w:left="3144" w:hanging="360"/>
      </w:pPr>
      <w:rPr>
        <w:rFonts w:hint="default"/>
        <w:b w:val="0"/>
        <w:i w:val="0"/>
      </w:rPr>
    </w:lvl>
    <w:lvl w:ilvl="4">
      <w:start w:val="1"/>
      <w:numFmt w:val="lowerLetter"/>
      <w:lvlText w:val="(%5)"/>
      <w:lvlJc w:val="left"/>
      <w:pPr>
        <w:tabs>
          <w:tab w:val="num" w:pos="3504"/>
        </w:tabs>
        <w:ind w:left="3504" w:hanging="360"/>
      </w:pPr>
      <w:rPr>
        <w:rFonts w:hint="default"/>
        <w:b w:val="0"/>
        <w:i w:val="0"/>
      </w:rPr>
    </w:lvl>
    <w:lvl w:ilvl="5">
      <w:start w:val="1"/>
      <w:numFmt w:val="lowerRoman"/>
      <w:lvlText w:val="(%6)"/>
      <w:lvlJc w:val="left"/>
      <w:pPr>
        <w:tabs>
          <w:tab w:val="num" w:pos="3864"/>
        </w:tabs>
        <w:ind w:left="3864" w:hanging="360"/>
      </w:pPr>
      <w:rPr>
        <w:rFonts w:hint="default"/>
        <w:b w:val="0"/>
        <w:i w:val="0"/>
      </w:rPr>
    </w:lvl>
    <w:lvl w:ilvl="6">
      <w:start w:val="1"/>
      <w:numFmt w:val="decimal"/>
      <w:lvlText w:val="%7."/>
      <w:lvlJc w:val="left"/>
      <w:pPr>
        <w:tabs>
          <w:tab w:val="num" w:pos="4224"/>
        </w:tabs>
        <w:ind w:left="4224" w:hanging="360"/>
      </w:pPr>
      <w:rPr>
        <w:rFonts w:hint="default"/>
        <w:b w:val="0"/>
        <w:i w:val="0"/>
      </w:rPr>
    </w:lvl>
    <w:lvl w:ilvl="7">
      <w:start w:val="1"/>
      <w:numFmt w:val="lowerLetter"/>
      <w:lvlText w:val="%8."/>
      <w:lvlJc w:val="left"/>
      <w:pPr>
        <w:tabs>
          <w:tab w:val="num" w:pos="4584"/>
        </w:tabs>
        <w:ind w:left="4584" w:hanging="360"/>
      </w:pPr>
      <w:rPr>
        <w:rFonts w:hint="default"/>
        <w:b w:val="0"/>
        <w:i w:val="0"/>
      </w:rPr>
    </w:lvl>
    <w:lvl w:ilvl="8">
      <w:start w:val="1"/>
      <w:numFmt w:val="lowerRoman"/>
      <w:lvlText w:val="%9."/>
      <w:lvlJc w:val="left"/>
      <w:pPr>
        <w:tabs>
          <w:tab w:val="num" w:pos="4944"/>
        </w:tabs>
        <w:ind w:left="4944" w:hanging="360"/>
      </w:pPr>
      <w:rPr>
        <w:rFonts w:hint="default"/>
        <w:b w:val="0"/>
        <w:i w:val="0"/>
      </w:rPr>
    </w:lvl>
  </w:abstractNum>
  <w:abstractNum w:abstractNumId="18">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512322E"/>
    <w:multiLevelType w:val="hybridMultilevel"/>
    <w:tmpl w:val="BC3AA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5F1653"/>
    <w:multiLevelType w:val="multilevel"/>
    <w:tmpl w:val="00E81E04"/>
    <w:lvl w:ilvl="0">
      <w:start w:val="1"/>
      <w:numFmt w:val="bullet"/>
      <w:lvlRestart w:val="0"/>
      <w:lvlText w:val=""/>
      <w:lvlJc w:val="left"/>
      <w:pPr>
        <w:tabs>
          <w:tab w:val="num" w:pos="283"/>
        </w:tabs>
        <w:ind w:left="284" w:hanging="284"/>
      </w:pPr>
      <w:rPr>
        <w:rFonts w:ascii="Symbol" w:hAnsi="Symbol" w:hint="default"/>
        <w:sz w:val="16"/>
      </w:rPr>
    </w:lvl>
    <w:lvl w:ilvl="1">
      <w:start w:val="1"/>
      <w:numFmt w:val="bullet"/>
      <w:lvlText w:val="–"/>
      <w:lvlJc w:val="left"/>
      <w:pPr>
        <w:tabs>
          <w:tab w:val="num" w:pos="567"/>
        </w:tabs>
        <w:ind w:left="567" w:hanging="284"/>
      </w:pPr>
      <w:rPr>
        <w:rFonts w:ascii="Arial" w:hAnsi="Arial" w:hint="default"/>
      </w:rPr>
    </w:lvl>
    <w:lvl w:ilvl="2">
      <w:start w:val="1"/>
      <w:numFmt w:val="bullet"/>
      <w:lvlText w:val=":"/>
      <w:lvlJc w:val="left"/>
      <w:pPr>
        <w:tabs>
          <w:tab w:val="num" w:pos="850"/>
        </w:tabs>
        <w:ind w:left="850" w:hanging="283"/>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D692445"/>
    <w:multiLevelType w:val="hybridMultilevel"/>
    <w:tmpl w:val="62D4FC88"/>
    <w:lvl w:ilvl="0" w:tplc="2664135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45687A3E"/>
    <w:multiLevelType w:val="hybridMultilevel"/>
    <w:tmpl w:val="EAD0AF0A"/>
    <w:lvl w:ilvl="0" w:tplc="0C090013">
      <w:start w:val="1"/>
      <w:numFmt w:val="upperRoman"/>
      <w:lvlText w:val="%1."/>
      <w:lvlJc w:val="right"/>
      <w:pPr>
        <w:ind w:left="2291" w:hanging="360"/>
      </w:p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24">
    <w:nsid w:val="47140FA8"/>
    <w:multiLevelType w:val="hybridMultilevel"/>
    <w:tmpl w:val="8B302F8C"/>
    <w:lvl w:ilvl="0" w:tplc="266413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B3E5CA3"/>
    <w:multiLevelType w:val="hybridMultilevel"/>
    <w:tmpl w:val="3EE8B4EE"/>
    <w:lvl w:ilvl="0" w:tplc="0C090013">
      <w:start w:val="1"/>
      <w:numFmt w:val="upperRoman"/>
      <w:lvlText w:val="%1."/>
      <w:lvlJc w:val="righ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6">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7">
    <w:nsid w:val="4F3F685B"/>
    <w:multiLevelType w:val="hybridMultilevel"/>
    <w:tmpl w:val="7C80BC0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10D2021"/>
    <w:multiLevelType w:val="multilevel"/>
    <w:tmpl w:val="72F8140E"/>
    <w:numStyleLink w:val="OutlineList"/>
  </w:abstractNum>
  <w:abstractNum w:abstractNumId="29">
    <w:nsid w:val="57E10990"/>
    <w:multiLevelType w:val="hybridMultilevel"/>
    <w:tmpl w:val="2266EB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FEC2962"/>
    <w:multiLevelType w:val="hybridMultilevel"/>
    <w:tmpl w:val="7EFC1760"/>
    <w:lvl w:ilvl="0" w:tplc="9552F286">
      <w:start w:val="1"/>
      <w:numFmt w:val="decimal"/>
      <w:lvlText w:val="%1"/>
      <w:lvlJc w:val="center"/>
      <w:pPr>
        <w:ind w:left="360" w:hanging="360"/>
      </w:pPr>
      <w:rPr>
        <w:rFonts w:hint="default"/>
        <w:color w:val="002060"/>
        <w:position w:val="-6"/>
        <w:sz w:val="64"/>
        <w:szCs w:val="6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641F3552"/>
    <w:multiLevelType w:val="hybridMultilevel"/>
    <w:tmpl w:val="B65C64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50F418A"/>
    <w:multiLevelType w:val="multilevel"/>
    <w:tmpl w:val="34B09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006CE4"/>
    <w:multiLevelType w:val="multilevel"/>
    <w:tmpl w:val="4AE46AAE"/>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C780B98"/>
    <w:multiLevelType w:val="multilevel"/>
    <w:tmpl w:val="69BA62C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E7A0148"/>
    <w:multiLevelType w:val="hybridMultilevel"/>
    <w:tmpl w:val="9FD2E4A4"/>
    <w:lvl w:ilvl="0" w:tplc="266413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AC6631D"/>
    <w:multiLevelType w:val="hybridMultilevel"/>
    <w:tmpl w:val="38186F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nsid w:val="7B10612A"/>
    <w:multiLevelType w:val="hybridMultilevel"/>
    <w:tmpl w:val="AD74D21E"/>
    <w:lvl w:ilvl="0" w:tplc="266413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D3D7082"/>
    <w:multiLevelType w:val="hybridMultilevel"/>
    <w:tmpl w:val="DB8E922A"/>
    <w:lvl w:ilvl="0" w:tplc="CC3E1182">
      <w:start w:val="1"/>
      <w:numFmt w:val="decimal"/>
      <w:lvlText w:val="%1."/>
      <w:lvlJc w:val="left"/>
      <w:pPr>
        <w:tabs>
          <w:tab w:val="num" w:pos="720"/>
        </w:tabs>
        <w:ind w:left="720" w:hanging="360"/>
      </w:pPr>
    </w:lvl>
    <w:lvl w:ilvl="1" w:tplc="E56A9372">
      <w:start w:val="1"/>
      <w:numFmt w:val="upperRoman"/>
      <w:lvlText w:val="%2."/>
      <w:lvlJc w:val="right"/>
      <w:pPr>
        <w:tabs>
          <w:tab w:val="num" w:pos="1440"/>
        </w:tabs>
        <w:ind w:left="1440" w:hanging="360"/>
      </w:pPr>
    </w:lvl>
    <w:lvl w:ilvl="2" w:tplc="EA0EDF9E" w:tentative="1">
      <w:start w:val="1"/>
      <w:numFmt w:val="decimal"/>
      <w:lvlText w:val="%3."/>
      <w:lvlJc w:val="left"/>
      <w:pPr>
        <w:tabs>
          <w:tab w:val="num" w:pos="2160"/>
        </w:tabs>
        <w:ind w:left="2160" w:hanging="360"/>
      </w:pPr>
    </w:lvl>
    <w:lvl w:ilvl="3" w:tplc="4ADADEF0" w:tentative="1">
      <w:start w:val="1"/>
      <w:numFmt w:val="decimal"/>
      <w:lvlText w:val="%4."/>
      <w:lvlJc w:val="left"/>
      <w:pPr>
        <w:tabs>
          <w:tab w:val="num" w:pos="2880"/>
        </w:tabs>
        <w:ind w:left="2880" w:hanging="360"/>
      </w:pPr>
    </w:lvl>
    <w:lvl w:ilvl="4" w:tplc="2642F57E" w:tentative="1">
      <w:start w:val="1"/>
      <w:numFmt w:val="decimal"/>
      <w:lvlText w:val="%5."/>
      <w:lvlJc w:val="left"/>
      <w:pPr>
        <w:tabs>
          <w:tab w:val="num" w:pos="3600"/>
        </w:tabs>
        <w:ind w:left="3600" w:hanging="360"/>
      </w:pPr>
    </w:lvl>
    <w:lvl w:ilvl="5" w:tplc="A80C72A6" w:tentative="1">
      <w:start w:val="1"/>
      <w:numFmt w:val="decimal"/>
      <w:lvlText w:val="%6."/>
      <w:lvlJc w:val="left"/>
      <w:pPr>
        <w:tabs>
          <w:tab w:val="num" w:pos="4320"/>
        </w:tabs>
        <w:ind w:left="4320" w:hanging="360"/>
      </w:pPr>
    </w:lvl>
    <w:lvl w:ilvl="6" w:tplc="BE1E22A6" w:tentative="1">
      <w:start w:val="1"/>
      <w:numFmt w:val="decimal"/>
      <w:lvlText w:val="%7."/>
      <w:lvlJc w:val="left"/>
      <w:pPr>
        <w:tabs>
          <w:tab w:val="num" w:pos="5040"/>
        </w:tabs>
        <w:ind w:left="5040" w:hanging="360"/>
      </w:pPr>
    </w:lvl>
    <w:lvl w:ilvl="7" w:tplc="850EF5FC" w:tentative="1">
      <w:start w:val="1"/>
      <w:numFmt w:val="decimal"/>
      <w:lvlText w:val="%8."/>
      <w:lvlJc w:val="left"/>
      <w:pPr>
        <w:tabs>
          <w:tab w:val="num" w:pos="5760"/>
        </w:tabs>
        <w:ind w:left="5760" w:hanging="360"/>
      </w:pPr>
    </w:lvl>
    <w:lvl w:ilvl="8" w:tplc="5AB433B0" w:tentative="1">
      <w:start w:val="1"/>
      <w:numFmt w:val="decimal"/>
      <w:lvlText w:val="%9."/>
      <w:lvlJc w:val="left"/>
      <w:pPr>
        <w:tabs>
          <w:tab w:val="num" w:pos="6480"/>
        </w:tabs>
        <w:ind w:left="6480" w:hanging="360"/>
      </w:pPr>
    </w:lvl>
  </w:abstractNum>
  <w:abstractNum w:abstractNumId="41">
    <w:nsid w:val="7E777E15"/>
    <w:multiLevelType w:val="hybridMultilevel"/>
    <w:tmpl w:val="8EE0B7F8"/>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3">
    <w:nsid w:val="7F09453E"/>
    <w:multiLevelType w:val="hybridMultilevel"/>
    <w:tmpl w:val="8632C2A8"/>
    <w:lvl w:ilvl="0" w:tplc="26641358">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4">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17"/>
  </w:num>
  <w:num w:numId="2">
    <w:abstractNumId w:val="2"/>
  </w:num>
  <w:num w:numId="3">
    <w:abstractNumId w:val="19"/>
  </w:num>
  <w:num w:numId="4">
    <w:abstractNumId w:val="5"/>
  </w:num>
  <w:num w:numId="5">
    <w:abstractNumId w:val="6"/>
  </w:num>
  <w:num w:numId="6">
    <w:abstractNumId w:val="28"/>
  </w:num>
  <w:num w:numId="7">
    <w:abstractNumId w:val="18"/>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7"/>
  </w:num>
  <w:num w:numId="9">
    <w:abstractNumId w:val="3"/>
  </w:num>
  <w:num w:numId="10">
    <w:abstractNumId w:val="14"/>
  </w:num>
  <w:num w:numId="11">
    <w:abstractNumId w:val="42"/>
  </w:num>
  <w:num w:numId="12">
    <w:abstractNumId w:val="28"/>
  </w:num>
  <w:num w:numId="13">
    <w:abstractNumId w:val="44"/>
  </w:num>
  <w:num w:numId="14">
    <w:abstractNumId w:val="26"/>
  </w:num>
  <w:num w:numId="15">
    <w:abstractNumId w:val="13"/>
  </w:num>
  <w:num w:numId="16">
    <w:abstractNumId w:val="30"/>
  </w:num>
  <w:num w:numId="17">
    <w:abstractNumId w:val="18"/>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0"/>
  </w:num>
  <w:num w:numId="21">
    <w:abstractNumId w:val="21"/>
  </w:num>
  <w:num w:numId="22">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
  </w:num>
  <w:num w:numId="25">
    <w:abstractNumId w:val="31"/>
  </w:num>
  <w:num w:numId="26">
    <w:abstractNumId w:val="32"/>
  </w:num>
  <w:num w:numId="27">
    <w:abstractNumId w:val="38"/>
  </w:num>
  <w:num w:numId="28">
    <w:abstractNumId w:val="35"/>
  </w:num>
  <w:num w:numId="29">
    <w:abstractNumId w:val="34"/>
  </w:num>
  <w:num w:numId="30">
    <w:abstractNumId w:val="10"/>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41"/>
  </w:num>
  <w:num w:numId="34">
    <w:abstractNumId w:val="16"/>
  </w:num>
  <w:num w:numId="35">
    <w:abstractNumId w:val="33"/>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6"/>
  </w:num>
  <w:num w:numId="39">
    <w:abstractNumId w:val="22"/>
  </w:num>
  <w:num w:numId="40">
    <w:abstractNumId w:val="39"/>
  </w:num>
  <w:num w:numId="41">
    <w:abstractNumId w:val="15"/>
  </w:num>
  <w:num w:numId="42">
    <w:abstractNumId w:val="24"/>
  </w:num>
  <w:num w:numId="43">
    <w:abstractNumId w:val="12"/>
  </w:num>
  <w:num w:numId="44">
    <w:abstractNumId w:val="43"/>
  </w:num>
  <w:num w:numId="45">
    <w:abstractNumId w:val="9"/>
  </w:num>
  <w:num w:numId="46">
    <w:abstractNumId w:val="1"/>
  </w:num>
  <w:num w:numId="47">
    <w:abstractNumId w:val="23"/>
  </w:num>
  <w:num w:numId="48">
    <w:abstractNumId w:val="27"/>
  </w:num>
  <w:num w:numId="49">
    <w:abstractNumId w:val="0"/>
  </w:num>
  <w:num w:numId="5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Pizzacalla">
    <w15:presenceInfo w15:providerId="AD" w15:userId="S-1-5-21-1340667212-1551599726-1498547205-10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doNotTrackFormatting/>
  <w:defaultTabStop w:val="720"/>
  <w:evenAndOddHeaders/>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3D11E7"/>
    <w:rsid w:val="00011725"/>
    <w:rsid w:val="00012C62"/>
    <w:rsid w:val="00014940"/>
    <w:rsid w:val="00020170"/>
    <w:rsid w:val="0002544D"/>
    <w:rsid w:val="0003190B"/>
    <w:rsid w:val="000371FA"/>
    <w:rsid w:val="00041F22"/>
    <w:rsid w:val="0004274D"/>
    <w:rsid w:val="00042FD8"/>
    <w:rsid w:val="00043348"/>
    <w:rsid w:val="00043A4B"/>
    <w:rsid w:val="0004483F"/>
    <w:rsid w:val="00046C42"/>
    <w:rsid w:val="0005138B"/>
    <w:rsid w:val="000522B7"/>
    <w:rsid w:val="00056307"/>
    <w:rsid w:val="00056880"/>
    <w:rsid w:val="00056B68"/>
    <w:rsid w:val="00060720"/>
    <w:rsid w:val="000675D1"/>
    <w:rsid w:val="00073521"/>
    <w:rsid w:val="000775DE"/>
    <w:rsid w:val="00081CC1"/>
    <w:rsid w:val="00082082"/>
    <w:rsid w:val="00087A8B"/>
    <w:rsid w:val="00087FAF"/>
    <w:rsid w:val="00090A79"/>
    <w:rsid w:val="00092238"/>
    <w:rsid w:val="00095F49"/>
    <w:rsid w:val="000963E4"/>
    <w:rsid w:val="000A58DA"/>
    <w:rsid w:val="000B1A58"/>
    <w:rsid w:val="000C3381"/>
    <w:rsid w:val="000C571D"/>
    <w:rsid w:val="000C5F40"/>
    <w:rsid w:val="000C69F0"/>
    <w:rsid w:val="000D03AD"/>
    <w:rsid w:val="000D564A"/>
    <w:rsid w:val="000D5C39"/>
    <w:rsid w:val="000E0B74"/>
    <w:rsid w:val="000E7901"/>
    <w:rsid w:val="000F1B34"/>
    <w:rsid w:val="0010478B"/>
    <w:rsid w:val="001207A8"/>
    <w:rsid w:val="00120C87"/>
    <w:rsid w:val="00125D50"/>
    <w:rsid w:val="00131DC3"/>
    <w:rsid w:val="00135E4C"/>
    <w:rsid w:val="001373F5"/>
    <w:rsid w:val="00140822"/>
    <w:rsid w:val="00146F60"/>
    <w:rsid w:val="00154D0F"/>
    <w:rsid w:val="00156956"/>
    <w:rsid w:val="00157F77"/>
    <w:rsid w:val="001606CF"/>
    <w:rsid w:val="0016128D"/>
    <w:rsid w:val="001644C1"/>
    <w:rsid w:val="0016777E"/>
    <w:rsid w:val="00167D37"/>
    <w:rsid w:val="0017089D"/>
    <w:rsid w:val="00171690"/>
    <w:rsid w:val="00176154"/>
    <w:rsid w:val="001852CD"/>
    <w:rsid w:val="001903C3"/>
    <w:rsid w:val="0019101A"/>
    <w:rsid w:val="00196141"/>
    <w:rsid w:val="001972D2"/>
    <w:rsid w:val="001A0CB7"/>
    <w:rsid w:val="001A3D44"/>
    <w:rsid w:val="001A5402"/>
    <w:rsid w:val="001A5CCC"/>
    <w:rsid w:val="001B3623"/>
    <w:rsid w:val="001C2A3B"/>
    <w:rsid w:val="001C2CCE"/>
    <w:rsid w:val="001C358D"/>
    <w:rsid w:val="001C490F"/>
    <w:rsid w:val="001C6987"/>
    <w:rsid w:val="001D71AE"/>
    <w:rsid w:val="001E1198"/>
    <w:rsid w:val="001E2522"/>
    <w:rsid w:val="001E27C2"/>
    <w:rsid w:val="001F1B27"/>
    <w:rsid w:val="001F589A"/>
    <w:rsid w:val="002046C0"/>
    <w:rsid w:val="00206756"/>
    <w:rsid w:val="00221EC0"/>
    <w:rsid w:val="00231049"/>
    <w:rsid w:val="002314D2"/>
    <w:rsid w:val="0023305C"/>
    <w:rsid w:val="0024122D"/>
    <w:rsid w:val="00241881"/>
    <w:rsid w:val="0024294C"/>
    <w:rsid w:val="00254B85"/>
    <w:rsid w:val="00254D20"/>
    <w:rsid w:val="0025652F"/>
    <w:rsid w:val="00261DB4"/>
    <w:rsid w:val="00263B6C"/>
    <w:rsid w:val="002651E8"/>
    <w:rsid w:val="00265506"/>
    <w:rsid w:val="00270EDF"/>
    <w:rsid w:val="00272939"/>
    <w:rsid w:val="002757FA"/>
    <w:rsid w:val="0027590B"/>
    <w:rsid w:val="00283A7F"/>
    <w:rsid w:val="00285969"/>
    <w:rsid w:val="00286212"/>
    <w:rsid w:val="00290C1A"/>
    <w:rsid w:val="0029556D"/>
    <w:rsid w:val="00296283"/>
    <w:rsid w:val="002A0367"/>
    <w:rsid w:val="002A74EF"/>
    <w:rsid w:val="002B3829"/>
    <w:rsid w:val="002C22EF"/>
    <w:rsid w:val="002C72B7"/>
    <w:rsid w:val="002D340B"/>
    <w:rsid w:val="002D37B2"/>
    <w:rsid w:val="002D6C73"/>
    <w:rsid w:val="002E454C"/>
    <w:rsid w:val="002E5CAE"/>
    <w:rsid w:val="002E7475"/>
    <w:rsid w:val="002F617F"/>
    <w:rsid w:val="00300109"/>
    <w:rsid w:val="00305FBC"/>
    <w:rsid w:val="00306894"/>
    <w:rsid w:val="00306CF6"/>
    <w:rsid w:val="003122F4"/>
    <w:rsid w:val="003143FE"/>
    <w:rsid w:val="003208DA"/>
    <w:rsid w:val="00322243"/>
    <w:rsid w:val="00323AE8"/>
    <w:rsid w:val="003268D5"/>
    <w:rsid w:val="0033165F"/>
    <w:rsid w:val="003448F6"/>
    <w:rsid w:val="00350759"/>
    <w:rsid w:val="00350788"/>
    <w:rsid w:val="0035153A"/>
    <w:rsid w:val="00354D27"/>
    <w:rsid w:val="0035738A"/>
    <w:rsid w:val="00357413"/>
    <w:rsid w:val="00362EAB"/>
    <w:rsid w:val="00365E2D"/>
    <w:rsid w:val="003740A1"/>
    <w:rsid w:val="00374AC8"/>
    <w:rsid w:val="003857B7"/>
    <w:rsid w:val="003858A6"/>
    <w:rsid w:val="00386715"/>
    <w:rsid w:val="00392DCC"/>
    <w:rsid w:val="003A0947"/>
    <w:rsid w:val="003A58D7"/>
    <w:rsid w:val="003A5B36"/>
    <w:rsid w:val="003A6050"/>
    <w:rsid w:val="003C2116"/>
    <w:rsid w:val="003C24B4"/>
    <w:rsid w:val="003C4E06"/>
    <w:rsid w:val="003C6DA0"/>
    <w:rsid w:val="003D11E7"/>
    <w:rsid w:val="003E20D6"/>
    <w:rsid w:val="003E4D87"/>
    <w:rsid w:val="003E687D"/>
    <w:rsid w:val="003F479F"/>
    <w:rsid w:val="003F680F"/>
    <w:rsid w:val="00401082"/>
    <w:rsid w:val="0040593B"/>
    <w:rsid w:val="00410EC5"/>
    <w:rsid w:val="00416762"/>
    <w:rsid w:val="00416E55"/>
    <w:rsid w:val="00417C26"/>
    <w:rsid w:val="004246FE"/>
    <w:rsid w:val="0042518A"/>
    <w:rsid w:val="00433ABA"/>
    <w:rsid w:val="00433AE0"/>
    <w:rsid w:val="004415EA"/>
    <w:rsid w:val="00445265"/>
    <w:rsid w:val="004559CE"/>
    <w:rsid w:val="00460E1A"/>
    <w:rsid w:val="00463DF8"/>
    <w:rsid w:val="00465110"/>
    <w:rsid w:val="004714F8"/>
    <w:rsid w:val="00475085"/>
    <w:rsid w:val="00476C63"/>
    <w:rsid w:val="00476CF6"/>
    <w:rsid w:val="00477693"/>
    <w:rsid w:val="00477AA8"/>
    <w:rsid w:val="00492FCB"/>
    <w:rsid w:val="00495BBF"/>
    <w:rsid w:val="00496C47"/>
    <w:rsid w:val="00496C51"/>
    <w:rsid w:val="004A0F11"/>
    <w:rsid w:val="004A3EAA"/>
    <w:rsid w:val="004A46A3"/>
    <w:rsid w:val="004A5263"/>
    <w:rsid w:val="004A76B9"/>
    <w:rsid w:val="004A7D97"/>
    <w:rsid w:val="004B5133"/>
    <w:rsid w:val="004B6BEA"/>
    <w:rsid w:val="004C3240"/>
    <w:rsid w:val="004C41B6"/>
    <w:rsid w:val="004D03A8"/>
    <w:rsid w:val="004D0713"/>
    <w:rsid w:val="004D6E37"/>
    <w:rsid w:val="004E00EA"/>
    <w:rsid w:val="004E35AB"/>
    <w:rsid w:val="004E3706"/>
    <w:rsid w:val="004F1E97"/>
    <w:rsid w:val="004F4B92"/>
    <w:rsid w:val="005044AB"/>
    <w:rsid w:val="00504865"/>
    <w:rsid w:val="00516785"/>
    <w:rsid w:val="0052419D"/>
    <w:rsid w:val="005301F8"/>
    <w:rsid w:val="0053114A"/>
    <w:rsid w:val="005312FC"/>
    <w:rsid w:val="0053569E"/>
    <w:rsid w:val="00535BF9"/>
    <w:rsid w:val="0053603D"/>
    <w:rsid w:val="0053742A"/>
    <w:rsid w:val="00537806"/>
    <w:rsid w:val="00537C5E"/>
    <w:rsid w:val="00537C85"/>
    <w:rsid w:val="00541D29"/>
    <w:rsid w:val="00543D34"/>
    <w:rsid w:val="005629C7"/>
    <w:rsid w:val="00562F17"/>
    <w:rsid w:val="0056582C"/>
    <w:rsid w:val="00576A98"/>
    <w:rsid w:val="00577538"/>
    <w:rsid w:val="00583629"/>
    <w:rsid w:val="005868DE"/>
    <w:rsid w:val="005966B7"/>
    <w:rsid w:val="005972DA"/>
    <w:rsid w:val="005A2C97"/>
    <w:rsid w:val="005B2331"/>
    <w:rsid w:val="005B5E2A"/>
    <w:rsid w:val="005B6FE2"/>
    <w:rsid w:val="005B7E8A"/>
    <w:rsid w:val="005C02A4"/>
    <w:rsid w:val="005C0689"/>
    <w:rsid w:val="005C20D2"/>
    <w:rsid w:val="005C32FE"/>
    <w:rsid w:val="005D024A"/>
    <w:rsid w:val="005D4FD4"/>
    <w:rsid w:val="005D6AF9"/>
    <w:rsid w:val="005D6D64"/>
    <w:rsid w:val="005F095C"/>
    <w:rsid w:val="005F6BEA"/>
    <w:rsid w:val="00601650"/>
    <w:rsid w:val="00605AFD"/>
    <w:rsid w:val="006123D4"/>
    <w:rsid w:val="0061445B"/>
    <w:rsid w:val="00624C4B"/>
    <w:rsid w:val="00630CE7"/>
    <w:rsid w:val="00641106"/>
    <w:rsid w:val="00656A22"/>
    <w:rsid w:val="00670E21"/>
    <w:rsid w:val="00685CF7"/>
    <w:rsid w:val="00686165"/>
    <w:rsid w:val="00691CB5"/>
    <w:rsid w:val="006921B4"/>
    <w:rsid w:val="00693BD2"/>
    <w:rsid w:val="006A37F5"/>
    <w:rsid w:val="006C1892"/>
    <w:rsid w:val="006C3E7E"/>
    <w:rsid w:val="006C5B73"/>
    <w:rsid w:val="006C645D"/>
    <w:rsid w:val="006D5AF7"/>
    <w:rsid w:val="006E0715"/>
    <w:rsid w:val="006E3CC3"/>
    <w:rsid w:val="006F14B4"/>
    <w:rsid w:val="006F39D9"/>
    <w:rsid w:val="00706E8E"/>
    <w:rsid w:val="00722430"/>
    <w:rsid w:val="00722B53"/>
    <w:rsid w:val="00723B13"/>
    <w:rsid w:val="00731532"/>
    <w:rsid w:val="00733A7C"/>
    <w:rsid w:val="00734B4C"/>
    <w:rsid w:val="007509DD"/>
    <w:rsid w:val="00763474"/>
    <w:rsid w:val="00771BA2"/>
    <w:rsid w:val="00784C0A"/>
    <w:rsid w:val="007860E0"/>
    <w:rsid w:val="007929CA"/>
    <w:rsid w:val="00794B40"/>
    <w:rsid w:val="007975BB"/>
    <w:rsid w:val="007A0B5E"/>
    <w:rsid w:val="007A1079"/>
    <w:rsid w:val="007A19DC"/>
    <w:rsid w:val="007B0083"/>
    <w:rsid w:val="007B1F22"/>
    <w:rsid w:val="007B76AB"/>
    <w:rsid w:val="007C045A"/>
    <w:rsid w:val="007D592B"/>
    <w:rsid w:val="007D5AA6"/>
    <w:rsid w:val="007D7A91"/>
    <w:rsid w:val="007D7EEB"/>
    <w:rsid w:val="007E6456"/>
    <w:rsid w:val="007F6208"/>
    <w:rsid w:val="0080160B"/>
    <w:rsid w:val="00811943"/>
    <w:rsid w:val="008311B8"/>
    <w:rsid w:val="00833D30"/>
    <w:rsid w:val="00833EDD"/>
    <w:rsid w:val="00834243"/>
    <w:rsid w:val="00856634"/>
    <w:rsid w:val="00857969"/>
    <w:rsid w:val="00865FDB"/>
    <w:rsid w:val="00867A55"/>
    <w:rsid w:val="00882CC4"/>
    <w:rsid w:val="008875CD"/>
    <w:rsid w:val="008A0B4D"/>
    <w:rsid w:val="008A2600"/>
    <w:rsid w:val="008A3434"/>
    <w:rsid w:val="008B01FC"/>
    <w:rsid w:val="008B315F"/>
    <w:rsid w:val="008B4BE8"/>
    <w:rsid w:val="008B7302"/>
    <w:rsid w:val="008C7F34"/>
    <w:rsid w:val="008C7F71"/>
    <w:rsid w:val="008D339F"/>
    <w:rsid w:val="008D6994"/>
    <w:rsid w:val="008E19A3"/>
    <w:rsid w:val="008E6292"/>
    <w:rsid w:val="008F3163"/>
    <w:rsid w:val="00903CC9"/>
    <w:rsid w:val="00906C82"/>
    <w:rsid w:val="009114C3"/>
    <w:rsid w:val="00911E9D"/>
    <w:rsid w:val="00925AA5"/>
    <w:rsid w:val="00933921"/>
    <w:rsid w:val="0093540D"/>
    <w:rsid w:val="0094019D"/>
    <w:rsid w:val="00942C11"/>
    <w:rsid w:val="0094351F"/>
    <w:rsid w:val="009466B5"/>
    <w:rsid w:val="009547F8"/>
    <w:rsid w:val="009550B1"/>
    <w:rsid w:val="00961075"/>
    <w:rsid w:val="009729D4"/>
    <w:rsid w:val="009817B0"/>
    <w:rsid w:val="009821CE"/>
    <w:rsid w:val="00985D40"/>
    <w:rsid w:val="00991153"/>
    <w:rsid w:val="009911AC"/>
    <w:rsid w:val="00993CB2"/>
    <w:rsid w:val="00996EAB"/>
    <w:rsid w:val="00997FC9"/>
    <w:rsid w:val="009A066C"/>
    <w:rsid w:val="009A1CF1"/>
    <w:rsid w:val="009A277C"/>
    <w:rsid w:val="009A5202"/>
    <w:rsid w:val="009A5BE0"/>
    <w:rsid w:val="009A5F0D"/>
    <w:rsid w:val="009A658F"/>
    <w:rsid w:val="009C0E2D"/>
    <w:rsid w:val="009C6248"/>
    <w:rsid w:val="009D4FA0"/>
    <w:rsid w:val="009E06F0"/>
    <w:rsid w:val="009E070F"/>
    <w:rsid w:val="009E171B"/>
    <w:rsid w:val="009F26DB"/>
    <w:rsid w:val="00A015E8"/>
    <w:rsid w:val="00A018E9"/>
    <w:rsid w:val="00A02C8B"/>
    <w:rsid w:val="00A07D47"/>
    <w:rsid w:val="00A11153"/>
    <w:rsid w:val="00A12F62"/>
    <w:rsid w:val="00A135F6"/>
    <w:rsid w:val="00A140B5"/>
    <w:rsid w:val="00A14FE9"/>
    <w:rsid w:val="00A24FB1"/>
    <w:rsid w:val="00A27B32"/>
    <w:rsid w:val="00A27E9A"/>
    <w:rsid w:val="00A32C96"/>
    <w:rsid w:val="00A3749B"/>
    <w:rsid w:val="00A37D87"/>
    <w:rsid w:val="00A504E3"/>
    <w:rsid w:val="00A50D88"/>
    <w:rsid w:val="00A55E08"/>
    <w:rsid w:val="00A56923"/>
    <w:rsid w:val="00A5767B"/>
    <w:rsid w:val="00A62E42"/>
    <w:rsid w:val="00A64A71"/>
    <w:rsid w:val="00A65719"/>
    <w:rsid w:val="00A66263"/>
    <w:rsid w:val="00A72960"/>
    <w:rsid w:val="00A72D8F"/>
    <w:rsid w:val="00A7467F"/>
    <w:rsid w:val="00A81672"/>
    <w:rsid w:val="00A84E1F"/>
    <w:rsid w:val="00A92791"/>
    <w:rsid w:val="00A93401"/>
    <w:rsid w:val="00AA2C5A"/>
    <w:rsid w:val="00AA56D0"/>
    <w:rsid w:val="00AB3A72"/>
    <w:rsid w:val="00AC3196"/>
    <w:rsid w:val="00AD09A9"/>
    <w:rsid w:val="00AD16FF"/>
    <w:rsid w:val="00AD2191"/>
    <w:rsid w:val="00AE2C93"/>
    <w:rsid w:val="00AE2F90"/>
    <w:rsid w:val="00AE6139"/>
    <w:rsid w:val="00AF500C"/>
    <w:rsid w:val="00B03DD6"/>
    <w:rsid w:val="00B2470A"/>
    <w:rsid w:val="00B30D2A"/>
    <w:rsid w:val="00B3583B"/>
    <w:rsid w:val="00B37A8F"/>
    <w:rsid w:val="00B37C6C"/>
    <w:rsid w:val="00B561AC"/>
    <w:rsid w:val="00B632AB"/>
    <w:rsid w:val="00B65347"/>
    <w:rsid w:val="00B65654"/>
    <w:rsid w:val="00B65D9C"/>
    <w:rsid w:val="00B66741"/>
    <w:rsid w:val="00B72F60"/>
    <w:rsid w:val="00B873F4"/>
    <w:rsid w:val="00B87927"/>
    <w:rsid w:val="00B92823"/>
    <w:rsid w:val="00B95FD7"/>
    <w:rsid w:val="00B973D3"/>
    <w:rsid w:val="00BA3E67"/>
    <w:rsid w:val="00BB683F"/>
    <w:rsid w:val="00BC07DE"/>
    <w:rsid w:val="00BC448B"/>
    <w:rsid w:val="00BC5FDE"/>
    <w:rsid w:val="00BD19CC"/>
    <w:rsid w:val="00BD26AA"/>
    <w:rsid w:val="00BD454F"/>
    <w:rsid w:val="00BE0A52"/>
    <w:rsid w:val="00BE3B72"/>
    <w:rsid w:val="00C01DCC"/>
    <w:rsid w:val="00C076B6"/>
    <w:rsid w:val="00C114D0"/>
    <w:rsid w:val="00C202B3"/>
    <w:rsid w:val="00C209E0"/>
    <w:rsid w:val="00C21EE0"/>
    <w:rsid w:val="00C23172"/>
    <w:rsid w:val="00C30297"/>
    <w:rsid w:val="00C40C67"/>
    <w:rsid w:val="00C42165"/>
    <w:rsid w:val="00C42C02"/>
    <w:rsid w:val="00C61C28"/>
    <w:rsid w:val="00C66502"/>
    <w:rsid w:val="00C72318"/>
    <w:rsid w:val="00C724E6"/>
    <w:rsid w:val="00C73547"/>
    <w:rsid w:val="00C73982"/>
    <w:rsid w:val="00C747A5"/>
    <w:rsid w:val="00C85314"/>
    <w:rsid w:val="00C964A6"/>
    <w:rsid w:val="00CA0116"/>
    <w:rsid w:val="00CA4BC0"/>
    <w:rsid w:val="00CA5CA8"/>
    <w:rsid w:val="00CA6607"/>
    <w:rsid w:val="00CB0157"/>
    <w:rsid w:val="00CB3745"/>
    <w:rsid w:val="00CB5205"/>
    <w:rsid w:val="00CB78B3"/>
    <w:rsid w:val="00CC559D"/>
    <w:rsid w:val="00CD1450"/>
    <w:rsid w:val="00CD654B"/>
    <w:rsid w:val="00CE223E"/>
    <w:rsid w:val="00CE3E62"/>
    <w:rsid w:val="00CF1F48"/>
    <w:rsid w:val="00CF3F0D"/>
    <w:rsid w:val="00D06DC4"/>
    <w:rsid w:val="00D10C49"/>
    <w:rsid w:val="00D145F5"/>
    <w:rsid w:val="00D15C78"/>
    <w:rsid w:val="00D16A7C"/>
    <w:rsid w:val="00D16EA8"/>
    <w:rsid w:val="00D21D50"/>
    <w:rsid w:val="00D22783"/>
    <w:rsid w:val="00D27E8E"/>
    <w:rsid w:val="00D355F0"/>
    <w:rsid w:val="00D43AC8"/>
    <w:rsid w:val="00D47AFD"/>
    <w:rsid w:val="00D5404B"/>
    <w:rsid w:val="00D56113"/>
    <w:rsid w:val="00D62752"/>
    <w:rsid w:val="00D7695C"/>
    <w:rsid w:val="00D82002"/>
    <w:rsid w:val="00D833D9"/>
    <w:rsid w:val="00D83BD9"/>
    <w:rsid w:val="00D94DCF"/>
    <w:rsid w:val="00D94EAE"/>
    <w:rsid w:val="00D955F9"/>
    <w:rsid w:val="00DA586F"/>
    <w:rsid w:val="00DB07A4"/>
    <w:rsid w:val="00DB08DA"/>
    <w:rsid w:val="00DB7F09"/>
    <w:rsid w:val="00DC00E8"/>
    <w:rsid w:val="00DC1C56"/>
    <w:rsid w:val="00DC4756"/>
    <w:rsid w:val="00DC6379"/>
    <w:rsid w:val="00DC77BA"/>
    <w:rsid w:val="00DD319F"/>
    <w:rsid w:val="00DE3065"/>
    <w:rsid w:val="00DE3C77"/>
    <w:rsid w:val="00DF6152"/>
    <w:rsid w:val="00DF6F61"/>
    <w:rsid w:val="00DF7591"/>
    <w:rsid w:val="00E0384D"/>
    <w:rsid w:val="00E101C6"/>
    <w:rsid w:val="00E15660"/>
    <w:rsid w:val="00E22D51"/>
    <w:rsid w:val="00E27F7C"/>
    <w:rsid w:val="00E306FB"/>
    <w:rsid w:val="00E33142"/>
    <w:rsid w:val="00E353D2"/>
    <w:rsid w:val="00E41948"/>
    <w:rsid w:val="00E44D45"/>
    <w:rsid w:val="00E50E7C"/>
    <w:rsid w:val="00E51370"/>
    <w:rsid w:val="00E51545"/>
    <w:rsid w:val="00E51D9E"/>
    <w:rsid w:val="00E537D1"/>
    <w:rsid w:val="00E567E6"/>
    <w:rsid w:val="00E56971"/>
    <w:rsid w:val="00E61484"/>
    <w:rsid w:val="00E61BFC"/>
    <w:rsid w:val="00E656E0"/>
    <w:rsid w:val="00E657B7"/>
    <w:rsid w:val="00E711D7"/>
    <w:rsid w:val="00E712D3"/>
    <w:rsid w:val="00E815E1"/>
    <w:rsid w:val="00E8296A"/>
    <w:rsid w:val="00E83DDC"/>
    <w:rsid w:val="00E85525"/>
    <w:rsid w:val="00E902B0"/>
    <w:rsid w:val="00E902E8"/>
    <w:rsid w:val="00E9412A"/>
    <w:rsid w:val="00EA23AC"/>
    <w:rsid w:val="00EA7C3D"/>
    <w:rsid w:val="00EB05CA"/>
    <w:rsid w:val="00EB5B49"/>
    <w:rsid w:val="00EB6878"/>
    <w:rsid w:val="00EC1E0E"/>
    <w:rsid w:val="00EC236D"/>
    <w:rsid w:val="00EC299C"/>
    <w:rsid w:val="00EC6B16"/>
    <w:rsid w:val="00ED3A90"/>
    <w:rsid w:val="00ED4BB6"/>
    <w:rsid w:val="00ED53E0"/>
    <w:rsid w:val="00EE1447"/>
    <w:rsid w:val="00EE19D6"/>
    <w:rsid w:val="00EF145E"/>
    <w:rsid w:val="00EF2BBB"/>
    <w:rsid w:val="00EF7BB3"/>
    <w:rsid w:val="00F0082D"/>
    <w:rsid w:val="00F015AB"/>
    <w:rsid w:val="00F056F7"/>
    <w:rsid w:val="00F05CA4"/>
    <w:rsid w:val="00F07C90"/>
    <w:rsid w:val="00F10271"/>
    <w:rsid w:val="00F10B8D"/>
    <w:rsid w:val="00F15E18"/>
    <w:rsid w:val="00F166AB"/>
    <w:rsid w:val="00F167FC"/>
    <w:rsid w:val="00F21E32"/>
    <w:rsid w:val="00F26192"/>
    <w:rsid w:val="00F27B52"/>
    <w:rsid w:val="00F327F9"/>
    <w:rsid w:val="00F4521C"/>
    <w:rsid w:val="00F524A5"/>
    <w:rsid w:val="00F542D1"/>
    <w:rsid w:val="00F56585"/>
    <w:rsid w:val="00F5682B"/>
    <w:rsid w:val="00F56972"/>
    <w:rsid w:val="00F56B08"/>
    <w:rsid w:val="00F57BED"/>
    <w:rsid w:val="00F6134F"/>
    <w:rsid w:val="00F70AE1"/>
    <w:rsid w:val="00F70BCA"/>
    <w:rsid w:val="00F711DF"/>
    <w:rsid w:val="00F73C84"/>
    <w:rsid w:val="00F7455A"/>
    <w:rsid w:val="00F74E14"/>
    <w:rsid w:val="00F7613A"/>
    <w:rsid w:val="00F76813"/>
    <w:rsid w:val="00F82746"/>
    <w:rsid w:val="00F836F9"/>
    <w:rsid w:val="00F845D7"/>
    <w:rsid w:val="00F878AA"/>
    <w:rsid w:val="00F92279"/>
    <w:rsid w:val="00F95D64"/>
    <w:rsid w:val="00FA76E2"/>
    <w:rsid w:val="00FB4D21"/>
    <w:rsid w:val="00FB7622"/>
    <w:rsid w:val="00FB762B"/>
    <w:rsid w:val="00FC45F0"/>
    <w:rsid w:val="00FC6ADA"/>
    <w:rsid w:val="00FD0B3F"/>
    <w:rsid w:val="00FD3E75"/>
    <w:rsid w:val="00FE5D9E"/>
    <w:rsid w:val="00FF1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5C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D9"/>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140822"/>
    <w:pPr>
      <w:spacing w:before="240"/>
      <w:outlineLvl w:val="0"/>
    </w:pPr>
    <w:rPr>
      <w:bCs w:val="0"/>
      <w:color w:val="C00000"/>
    </w:rPr>
  </w:style>
  <w:style w:type="paragraph" w:styleId="Heading2">
    <w:name w:val="heading 2"/>
    <w:basedOn w:val="HeadingBase"/>
    <w:next w:val="Normal"/>
    <w:link w:val="Heading2Char"/>
    <w:qFormat/>
    <w:rsid w:val="00043A4B"/>
    <w:pPr>
      <w:spacing w:before="360"/>
      <w:outlineLvl w:val="1"/>
    </w:pPr>
    <w:rPr>
      <w:bCs w:val="0"/>
      <w:iCs/>
      <w:color w:val="C00000"/>
      <w:sz w:val="36"/>
      <w:szCs w:val="28"/>
    </w:rPr>
  </w:style>
  <w:style w:type="paragraph" w:styleId="Heading3">
    <w:name w:val="heading 3"/>
    <w:basedOn w:val="HeadingBase"/>
    <w:next w:val="Normal"/>
    <w:link w:val="Heading3Char"/>
    <w:qFormat/>
    <w:rsid w:val="00043A4B"/>
    <w:pPr>
      <w:spacing w:before="240"/>
      <w:outlineLvl w:val="2"/>
    </w:pPr>
    <w:rPr>
      <w:bCs w:val="0"/>
      <w:color w:val="002060"/>
      <w:sz w:val="28"/>
      <w:szCs w:val="26"/>
    </w:rPr>
  </w:style>
  <w:style w:type="paragraph" w:styleId="Heading4">
    <w:name w:val="heading 4"/>
    <w:basedOn w:val="HeadingBase"/>
    <w:next w:val="Normal"/>
    <w:link w:val="Heading4Char"/>
    <w:qFormat/>
    <w:rsid w:val="00043A4B"/>
    <w:pPr>
      <w:outlineLvl w:val="3"/>
    </w:pPr>
    <w:rPr>
      <w:bCs w:val="0"/>
      <w:color w:val="002060"/>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0822"/>
    <w:rPr>
      <w:rFonts w:ascii="Calibri" w:eastAsia="Times New Roman" w:hAnsi="Calibri" w:cs="Arial"/>
      <w:color w:val="C00000"/>
      <w:kern w:val="32"/>
      <w:sz w:val="48"/>
      <w:szCs w:val="36"/>
      <w:lang w:eastAsia="en-AU"/>
    </w:rPr>
  </w:style>
  <w:style w:type="character" w:customStyle="1" w:styleId="Heading2Char">
    <w:name w:val="Heading 2 Char"/>
    <w:basedOn w:val="DefaultParagraphFont"/>
    <w:link w:val="Heading2"/>
    <w:rsid w:val="00043A4B"/>
    <w:rPr>
      <w:rFonts w:ascii="Calibri" w:eastAsia="Times New Roman" w:hAnsi="Calibri" w:cs="Arial"/>
      <w:iCs/>
      <w:color w:val="C00000"/>
      <w:kern w:val="32"/>
      <w:sz w:val="36"/>
      <w:szCs w:val="28"/>
      <w:lang w:eastAsia="en-AU"/>
    </w:rPr>
  </w:style>
  <w:style w:type="character" w:customStyle="1" w:styleId="Heading3Char">
    <w:name w:val="Heading 3 Char"/>
    <w:basedOn w:val="DefaultParagraphFont"/>
    <w:link w:val="Heading3"/>
    <w:rsid w:val="00043A4B"/>
    <w:rPr>
      <w:rFonts w:ascii="Calibri" w:eastAsia="Times New Roman" w:hAnsi="Calibri" w:cs="Arial"/>
      <w:color w:val="002060"/>
      <w:kern w:val="32"/>
      <w:sz w:val="28"/>
      <w:szCs w:val="26"/>
      <w:lang w:eastAsia="en-AU"/>
    </w:rPr>
  </w:style>
  <w:style w:type="character" w:customStyle="1" w:styleId="Heading4Char">
    <w:name w:val="Heading 4 Char"/>
    <w:basedOn w:val="DefaultParagraphFont"/>
    <w:link w:val="Heading4"/>
    <w:rsid w:val="00043A4B"/>
    <w:rPr>
      <w:rFonts w:ascii="Calibri" w:eastAsia="Times New Roman" w:hAnsi="Calibri" w:cs="Arial"/>
      <w:color w:val="002060"/>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3857B7"/>
    <w:pPr>
      <w:keepNext/>
      <w:spacing w:before="0" w:after="360"/>
      <w:ind w:right="139"/>
      <w:jc w:val="right"/>
    </w:pPr>
    <w:rPr>
      <w:color w:val="FFFFFF" w:themeColor="background1"/>
      <w:sz w:val="44"/>
    </w:rPr>
  </w:style>
  <w:style w:type="paragraph" w:customStyle="1" w:styleId="Dash">
    <w:name w:val="Dash"/>
    <w:basedOn w:val="Normal"/>
    <w:link w:val="DashChar"/>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43A4B"/>
    <w:pPr>
      <w:keepNext/>
      <w:tabs>
        <w:tab w:val="clear" w:pos="4513"/>
        <w:tab w:val="clear" w:pos="9026"/>
      </w:tabs>
      <w:jc w:val="left"/>
    </w:pPr>
    <w:rPr>
      <w:noProof/>
      <w:color w:val="002060"/>
      <w:sz w:val="22"/>
    </w:rPr>
  </w:style>
  <w:style w:type="paragraph" w:customStyle="1" w:styleId="FooterOdd">
    <w:name w:val="Footer Odd"/>
    <w:basedOn w:val="Footer"/>
    <w:rsid w:val="00043A4B"/>
    <w:pPr>
      <w:keepNext/>
      <w:tabs>
        <w:tab w:val="clear" w:pos="4513"/>
        <w:tab w:val="clear" w:pos="9026"/>
      </w:tabs>
      <w:jc w:val="right"/>
    </w:pPr>
    <w:rPr>
      <w:color w:val="002060"/>
      <w:sz w:val="22"/>
    </w:r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DF7591"/>
    <w:pPr>
      <w:jc w:val="center"/>
    </w:pPr>
    <w:rPr>
      <w:b/>
      <w:color w:val="C00000"/>
      <w:sz w:val="28"/>
    </w:rPr>
  </w:style>
  <w:style w:type="paragraph" w:customStyle="1" w:styleId="TableColumnHeadingLeft">
    <w:name w:val="Table Column Heading Left"/>
    <w:basedOn w:val="TableTextLeft"/>
    <w:rsid w:val="00DF7591"/>
    <w:rPr>
      <w:b/>
      <w:color w:val="002060"/>
      <w:sz w:val="24"/>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92238"/>
    <w:pPr>
      <w:jc w:val="left"/>
    </w:pPr>
    <w:rPr>
      <w:sz w:val="22"/>
    </w:r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B37C6C"/>
    <w:pPr>
      <w:keepNext/>
      <w:tabs>
        <w:tab w:val="right" w:leader="dot" w:pos="9072"/>
      </w:tabs>
      <w:spacing w:before="180" w:after="0"/>
      <w:ind w:right="-2"/>
    </w:pPr>
    <w:rPr>
      <w:b/>
      <w:noProof/>
      <w:color w:val="002060"/>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3857B7"/>
    <w:pPr>
      <w:spacing w:before="0"/>
      <w:contextualSpacing/>
      <w:jc w:val="right"/>
    </w:pPr>
    <w:rPr>
      <w:rFonts w:eastAsiaTheme="majorEastAsia" w:cstheme="majorBidi"/>
      <w:caps/>
      <w:color w:val="002060"/>
      <w:spacing w:val="5"/>
      <w:kern w:val="28"/>
      <w:sz w:val="64"/>
      <w:szCs w:val="52"/>
    </w:rPr>
  </w:style>
  <w:style w:type="character" w:customStyle="1" w:styleId="TitleChar">
    <w:name w:val="Title Char"/>
    <w:basedOn w:val="DefaultParagraphFont"/>
    <w:link w:val="Title"/>
    <w:uiPriority w:val="10"/>
    <w:rsid w:val="003857B7"/>
    <w:rPr>
      <w:rFonts w:ascii="Calibri" w:eastAsiaTheme="majorEastAsia" w:hAnsi="Calibri" w:cstheme="majorBidi"/>
      <w:caps/>
      <w:color w:val="002060"/>
      <w:spacing w:val="5"/>
      <w:kern w:val="28"/>
      <w:sz w:val="64"/>
      <w:szCs w:val="52"/>
      <w:lang w:eastAsia="en-AU"/>
    </w:rPr>
  </w:style>
  <w:style w:type="paragraph" w:styleId="Subtitle">
    <w:name w:val="Subtitle"/>
    <w:basedOn w:val="Normal"/>
    <w:next w:val="Normal"/>
    <w:link w:val="SubtitleChar"/>
    <w:uiPriority w:val="11"/>
    <w:qFormat/>
    <w:rsid w:val="003857B7"/>
    <w:pPr>
      <w:numPr>
        <w:ilvl w:val="1"/>
      </w:numPr>
      <w:jc w:val="right"/>
    </w:pPr>
    <w:rPr>
      <w:rFonts w:eastAsiaTheme="majorEastAsia" w:cstheme="majorBidi"/>
      <w:iCs/>
      <w:color w:val="595959" w:themeColor="text1" w:themeTint="A6"/>
      <w:sz w:val="44"/>
      <w:szCs w:val="44"/>
    </w:rPr>
  </w:style>
  <w:style w:type="character" w:customStyle="1" w:styleId="SubtitleChar">
    <w:name w:val="Subtitle Char"/>
    <w:basedOn w:val="DefaultParagraphFont"/>
    <w:link w:val="Subtitle"/>
    <w:uiPriority w:val="11"/>
    <w:rsid w:val="003857B7"/>
    <w:rPr>
      <w:rFonts w:ascii="Calibri" w:eastAsiaTheme="majorEastAsia" w:hAnsi="Calibri" w:cstheme="majorBidi"/>
      <w:iCs/>
      <w:color w:val="595959" w:themeColor="text1" w:themeTint="A6"/>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3857B7"/>
    <w:rPr>
      <w:rFonts w:ascii="Calibri" w:eastAsia="Times New Roman" w:hAnsi="Calibri" w:cs="Times New Roman"/>
      <w:color w:val="FFFFFF" w:themeColor="background1"/>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customStyle="1" w:styleId="Introductionparagraph">
    <w:name w:val="Introduction paragraph"/>
    <w:basedOn w:val="Normal"/>
    <w:qFormat/>
    <w:rsid w:val="00092238"/>
    <w:pPr>
      <w:spacing w:after="240"/>
    </w:pPr>
    <w:rPr>
      <w:color w:val="002060"/>
      <w:sz w:val="28"/>
      <w:szCs w:val="32"/>
    </w:rPr>
  </w:style>
  <w:style w:type="paragraph" w:styleId="ListParagraph">
    <w:name w:val="List Paragraph"/>
    <w:basedOn w:val="Normal"/>
    <w:uiPriority w:val="34"/>
    <w:qFormat/>
    <w:rsid w:val="00A7467F"/>
    <w:pPr>
      <w:spacing w:before="0" w:after="0"/>
      <w:ind w:left="720"/>
    </w:pPr>
    <w:rPr>
      <w:szCs w:val="22"/>
      <w:lang w:eastAsia="en-US"/>
    </w:rPr>
  </w:style>
  <w:style w:type="paragraph" w:customStyle="1" w:styleId="SingleParagraph0">
    <w:name w:val="SingleParagraph"/>
    <w:basedOn w:val="Normal"/>
    <w:next w:val="Normal"/>
    <w:rsid w:val="00A7467F"/>
    <w:pPr>
      <w:keepNext/>
      <w:spacing w:before="0" w:after="0"/>
      <w:jc w:val="both"/>
    </w:pPr>
    <w:rPr>
      <w:rFonts w:ascii="Book Antiqua" w:hAnsi="Book Antiqua"/>
      <w:color w:val="000000"/>
      <w:sz w:val="20"/>
    </w:rPr>
  </w:style>
  <w:style w:type="paragraph" w:customStyle="1" w:styleId="TESHeading5">
    <w:name w:val="TES Heading 5"/>
    <w:basedOn w:val="Normal"/>
    <w:next w:val="Normal"/>
    <w:rsid w:val="00A7467F"/>
    <w:pPr>
      <w:keepNext/>
      <w:tabs>
        <w:tab w:val="left" w:pos="567"/>
      </w:tabs>
      <w:spacing w:before="240"/>
      <w:ind w:left="567" w:hanging="567"/>
    </w:pPr>
    <w:rPr>
      <w:rFonts w:ascii="Arial" w:hAnsi="Arial"/>
      <w:b/>
      <w:sz w:val="20"/>
    </w:rPr>
  </w:style>
  <w:style w:type="character" w:customStyle="1" w:styleId="BulletChar">
    <w:name w:val="Bullet Char"/>
    <w:link w:val="Bullet"/>
    <w:rsid w:val="00A7467F"/>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A7467F"/>
    <w:rPr>
      <w:sz w:val="16"/>
      <w:szCs w:val="16"/>
    </w:rPr>
  </w:style>
  <w:style w:type="paragraph" w:styleId="CommentText">
    <w:name w:val="annotation text"/>
    <w:basedOn w:val="Normal"/>
    <w:link w:val="CommentTextChar"/>
    <w:uiPriority w:val="99"/>
    <w:semiHidden/>
    <w:unhideWhenUsed/>
    <w:rsid w:val="00A7467F"/>
    <w:pPr>
      <w:spacing w:before="0"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A7467F"/>
    <w:rPr>
      <w:sz w:val="20"/>
      <w:szCs w:val="20"/>
    </w:rPr>
  </w:style>
  <w:style w:type="paragraph" w:customStyle="1" w:styleId="SecurityClassificationHeader">
    <w:name w:val="Security Classification Header"/>
    <w:link w:val="SecurityClassificationHeaderChar"/>
    <w:rsid w:val="00A24FB1"/>
    <w:pPr>
      <w:spacing w:before="240" w:after="60"/>
      <w:jc w:val="center"/>
    </w:pPr>
    <w:rPr>
      <w:rFonts w:ascii="Calibri" w:eastAsia="Times New Roman" w:hAnsi="Calibri" w:cs="Times New Roman"/>
      <w:b/>
      <w:caps/>
      <w:color w:val="004A7F"/>
      <w:sz w:val="24"/>
      <w:szCs w:val="20"/>
      <w:lang w:eastAsia="en-AU"/>
    </w:rPr>
  </w:style>
  <w:style w:type="character" w:customStyle="1" w:styleId="SecurityClassificationHeaderChar">
    <w:name w:val="Security Classification Header Char"/>
    <w:basedOn w:val="HeaderChar"/>
    <w:link w:val="SecurityClassificationHeader"/>
    <w:rsid w:val="00A24FB1"/>
    <w:rPr>
      <w:rFonts w:ascii="Calibri" w:eastAsia="Times New Roman" w:hAnsi="Calibri" w:cs="Times New Roman"/>
      <w:b/>
      <w:caps/>
      <w:color w:val="004A7F"/>
      <w:sz w:val="24"/>
      <w:szCs w:val="20"/>
      <w:lang w:eastAsia="en-AU"/>
    </w:rPr>
  </w:style>
  <w:style w:type="paragraph" w:customStyle="1" w:styleId="SecurityClassificationFooter">
    <w:name w:val="Security Classification Footer"/>
    <w:link w:val="SecurityClassificationFooterChar"/>
    <w:rsid w:val="00A24FB1"/>
    <w:pPr>
      <w:spacing w:before="60" w:after="240"/>
      <w:jc w:val="center"/>
    </w:pPr>
    <w:rPr>
      <w:rFonts w:ascii="Calibri" w:eastAsia="Times New Roman" w:hAnsi="Calibri" w:cs="Times New Roman"/>
      <w:b/>
      <w:caps/>
      <w:color w:val="004A7F"/>
      <w:sz w:val="24"/>
      <w:szCs w:val="20"/>
      <w:lang w:eastAsia="en-AU"/>
    </w:rPr>
  </w:style>
  <w:style w:type="character" w:customStyle="1" w:styleId="SecurityClassificationFooterChar">
    <w:name w:val="Security Classification Footer Char"/>
    <w:basedOn w:val="HeaderChar"/>
    <w:link w:val="SecurityClassificationFooter"/>
    <w:rsid w:val="00A24FB1"/>
    <w:rPr>
      <w:rFonts w:ascii="Calibri" w:eastAsia="Times New Roman" w:hAnsi="Calibri" w:cs="Times New Roman"/>
      <w:b/>
      <w:caps/>
      <w:color w:val="004A7F"/>
      <w:sz w:val="24"/>
      <w:szCs w:val="20"/>
      <w:lang w:eastAsia="en-AU"/>
    </w:rPr>
  </w:style>
  <w:style w:type="paragraph" w:customStyle="1" w:styleId="DLMSecurityHeader">
    <w:name w:val="DLM Security Header"/>
    <w:link w:val="DLMSecurityHeaderChar"/>
    <w:rsid w:val="00A24FB1"/>
    <w:pPr>
      <w:spacing w:before="60" w:after="240"/>
      <w:jc w:val="center"/>
    </w:pPr>
    <w:rPr>
      <w:rFonts w:ascii="Calibri" w:eastAsia="Times New Roman" w:hAnsi="Calibri" w:cs="Times New Roman"/>
      <w:b/>
      <w:caps/>
      <w:color w:val="004A7F"/>
      <w:sz w:val="24"/>
      <w:szCs w:val="20"/>
      <w:lang w:eastAsia="en-AU"/>
    </w:rPr>
  </w:style>
  <w:style w:type="character" w:customStyle="1" w:styleId="DLMSecurityHeaderChar">
    <w:name w:val="DLM Security Header Char"/>
    <w:basedOn w:val="HeaderChar"/>
    <w:link w:val="DLMSecurityHeader"/>
    <w:rsid w:val="00A24FB1"/>
    <w:rPr>
      <w:rFonts w:ascii="Calibri" w:eastAsia="Times New Roman" w:hAnsi="Calibri" w:cs="Times New Roman"/>
      <w:b/>
      <w:caps/>
      <w:color w:val="004A7F"/>
      <w:sz w:val="24"/>
      <w:szCs w:val="20"/>
      <w:lang w:eastAsia="en-AU"/>
    </w:rPr>
  </w:style>
  <w:style w:type="paragraph" w:customStyle="1" w:styleId="DLMSecurityFooter">
    <w:name w:val="DLM Security Footer"/>
    <w:link w:val="DLMSecurityFooterChar"/>
    <w:rsid w:val="00A24FB1"/>
    <w:pPr>
      <w:spacing w:before="240" w:after="60"/>
      <w:jc w:val="center"/>
    </w:pPr>
    <w:rPr>
      <w:rFonts w:ascii="Calibri" w:eastAsia="Times New Roman" w:hAnsi="Calibri" w:cs="Times New Roman"/>
      <w:b/>
      <w:caps/>
      <w:color w:val="004A7F"/>
      <w:sz w:val="24"/>
      <w:szCs w:val="20"/>
      <w:lang w:eastAsia="en-AU"/>
    </w:rPr>
  </w:style>
  <w:style w:type="character" w:customStyle="1" w:styleId="DLMSecurityFooterChar">
    <w:name w:val="DLM Security Footer Char"/>
    <w:basedOn w:val="HeaderChar"/>
    <w:link w:val="DLMSecurityFooter"/>
    <w:rsid w:val="00A24FB1"/>
    <w:rPr>
      <w:rFonts w:ascii="Calibri" w:eastAsia="Times New Roman" w:hAnsi="Calibri" w:cs="Times New Roman"/>
      <w:b/>
      <w:caps/>
      <w:color w:val="004A7F"/>
      <w:sz w:val="24"/>
      <w:szCs w:val="20"/>
      <w:lang w:eastAsia="en-AU"/>
    </w:rPr>
  </w:style>
  <w:style w:type="paragraph" w:styleId="CommentSubject">
    <w:name w:val="annotation subject"/>
    <w:basedOn w:val="CommentText"/>
    <w:next w:val="CommentText"/>
    <w:link w:val="CommentSubjectChar"/>
    <w:uiPriority w:val="99"/>
    <w:semiHidden/>
    <w:unhideWhenUsed/>
    <w:rsid w:val="00F878AA"/>
    <w:pPr>
      <w:spacing w:before="120" w:after="120"/>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F878AA"/>
    <w:rPr>
      <w:rFonts w:ascii="Calibri" w:eastAsia="Times New Roman" w:hAnsi="Calibri" w:cs="Times New Roman"/>
      <w:b/>
      <w:bCs/>
      <w:sz w:val="20"/>
      <w:szCs w:val="20"/>
      <w:lang w:eastAsia="en-AU"/>
    </w:rPr>
  </w:style>
  <w:style w:type="character" w:customStyle="1" w:styleId="DashChar">
    <w:name w:val="Dash Char"/>
    <w:basedOn w:val="DefaultParagraphFont"/>
    <w:link w:val="Dash"/>
    <w:rsid w:val="007975BB"/>
    <w:rPr>
      <w:rFonts w:ascii="Calibri" w:eastAsia="Times New Roman" w:hAnsi="Calibri" w:cs="Times New Roman"/>
      <w:szCs w:val="20"/>
      <w:lang w:eastAsia="en-AU"/>
    </w:rPr>
  </w:style>
  <w:style w:type="character" w:customStyle="1" w:styleId="OutlineNumbered1Char">
    <w:name w:val="Outline Numbered 1 Char"/>
    <w:basedOn w:val="DefaultParagraphFont"/>
    <w:link w:val="OutlineNumbered1"/>
    <w:rsid w:val="007975BB"/>
    <w:rPr>
      <w:rFonts w:ascii="Calibri" w:eastAsia="Times New Roman" w:hAnsi="Calibri" w:cs="Times New Roman"/>
      <w:szCs w:val="20"/>
      <w:lang w:eastAsia="en-AU"/>
    </w:rPr>
  </w:style>
  <w:style w:type="character" w:styleId="FollowedHyperlink">
    <w:name w:val="FollowedHyperlink"/>
    <w:basedOn w:val="DefaultParagraphFont"/>
    <w:uiPriority w:val="99"/>
    <w:semiHidden/>
    <w:unhideWhenUsed/>
    <w:rsid w:val="0014082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D9"/>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140822"/>
    <w:pPr>
      <w:spacing w:before="240"/>
      <w:outlineLvl w:val="0"/>
    </w:pPr>
    <w:rPr>
      <w:bCs w:val="0"/>
      <w:color w:val="C00000"/>
    </w:rPr>
  </w:style>
  <w:style w:type="paragraph" w:styleId="Heading2">
    <w:name w:val="heading 2"/>
    <w:basedOn w:val="HeadingBase"/>
    <w:next w:val="Normal"/>
    <w:link w:val="Heading2Char"/>
    <w:qFormat/>
    <w:rsid w:val="00043A4B"/>
    <w:pPr>
      <w:spacing w:before="360"/>
      <w:outlineLvl w:val="1"/>
    </w:pPr>
    <w:rPr>
      <w:bCs w:val="0"/>
      <w:iCs/>
      <w:color w:val="C00000"/>
      <w:sz w:val="36"/>
      <w:szCs w:val="28"/>
    </w:rPr>
  </w:style>
  <w:style w:type="paragraph" w:styleId="Heading3">
    <w:name w:val="heading 3"/>
    <w:basedOn w:val="HeadingBase"/>
    <w:next w:val="Normal"/>
    <w:link w:val="Heading3Char"/>
    <w:qFormat/>
    <w:rsid w:val="00043A4B"/>
    <w:pPr>
      <w:spacing w:before="240"/>
      <w:outlineLvl w:val="2"/>
    </w:pPr>
    <w:rPr>
      <w:bCs w:val="0"/>
      <w:color w:val="002060"/>
      <w:sz w:val="28"/>
      <w:szCs w:val="26"/>
    </w:rPr>
  </w:style>
  <w:style w:type="paragraph" w:styleId="Heading4">
    <w:name w:val="heading 4"/>
    <w:basedOn w:val="HeadingBase"/>
    <w:next w:val="Normal"/>
    <w:link w:val="Heading4Char"/>
    <w:qFormat/>
    <w:rsid w:val="00043A4B"/>
    <w:pPr>
      <w:outlineLvl w:val="3"/>
    </w:pPr>
    <w:rPr>
      <w:bCs w:val="0"/>
      <w:color w:val="002060"/>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0822"/>
    <w:rPr>
      <w:rFonts w:ascii="Calibri" w:eastAsia="Times New Roman" w:hAnsi="Calibri" w:cs="Arial"/>
      <w:color w:val="C00000"/>
      <w:kern w:val="32"/>
      <w:sz w:val="48"/>
      <w:szCs w:val="36"/>
      <w:lang w:eastAsia="en-AU"/>
    </w:rPr>
  </w:style>
  <w:style w:type="character" w:customStyle="1" w:styleId="Heading2Char">
    <w:name w:val="Heading 2 Char"/>
    <w:basedOn w:val="DefaultParagraphFont"/>
    <w:link w:val="Heading2"/>
    <w:rsid w:val="00043A4B"/>
    <w:rPr>
      <w:rFonts w:ascii="Calibri" w:eastAsia="Times New Roman" w:hAnsi="Calibri" w:cs="Arial"/>
      <w:iCs/>
      <w:color w:val="C00000"/>
      <w:kern w:val="32"/>
      <w:sz w:val="36"/>
      <w:szCs w:val="28"/>
      <w:lang w:eastAsia="en-AU"/>
    </w:rPr>
  </w:style>
  <w:style w:type="character" w:customStyle="1" w:styleId="Heading3Char">
    <w:name w:val="Heading 3 Char"/>
    <w:basedOn w:val="DefaultParagraphFont"/>
    <w:link w:val="Heading3"/>
    <w:rsid w:val="00043A4B"/>
    <w:rPr>
      <w:rFonts w:ascii="Calibri" w:eastAsia="Times New Roman" w:hAnsi="Calibri" w:cs="Arial"/>
      <w:color w:val="002060"/>
      <w:kern w:val="32"/>
      <w:sz w:val="28"/>
      <w:szCs w:val="26"/>
      <w:lang w:eastAsia="en-AU"/>
    </w:rPr>
  </w:style>
  <w:style w:type="character" w:customStyle="1" w:styleId="Heading4Char">
    <w:name w:val="Heading 4 Char"/>
    <w:basedOn w:val="DefaultParagraphFont"/>
    <w:link w:val="Heading4"/>
    <w:rsid w:val="00043A4B"/>
    <w:rPr>
      <w:rFonts w:ascii="Calibri" w:eastAsia="Times New Roman" w:hAnsi="Calibri" w:cs="Arial"/>
      <w:color w:val="002060"/>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3857B7"/>
    <w:pPr>
      <w:keepNext/>
      <w:spacing w:before="0" w:after="360"/>
      <w:ind w:right="139"/>
      <w:jc w:val="right"/>
    </w:pPr>
    <w:rPr>
      <w:color w:val="FFFFFF" w:themeColor="background1"/>
      <w:sz w:val="44"/>
    </w:rPr>
  </w:style>
  <w:style w:type="paragraph" w:customStyle="1" w:styleId="Dash">
    <w:name w:val="Dash"/>
    <w:basedOn w:val="Normal"/>
    <w:link w:val="DashChar"/>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43A4B"/>
    <w:pPr>
      <w:keepNext/>
      <w:tabs>
        <w:tab w:val="clear" w:pos="4513"/>
        <w:tab w:val="clear" w:pos="9026"/>
      </w:tabs>
      <w:jc w:val="left"/>
    </w:pPr>
    <w:rPr>
      <w:noProof/>
      <w:color w:val="002060"/>
      <w:sz w:val="22"/>
    </w:rPr>
  </w:style>
  <w:style w:type="paragraph" w:customStyle="1" w:styleId="FooterOdd">
    <w:name w:val="Footer Odd"/>
    <w:basedOn w:val="Footer"/>
    <w:rsid w:val="00043A4B"/>
    <w:pPr>
      <w:keepNext/>
      <w:tabs>
        <w:tab w:val="clear" w:pos="4513"/>
        <w:tab w:val="clear" w:pos="9026"/>
      </w:tabs>
      <w:jc w:val="right"/>
    </w:pPr>
    <w:rPr>
      <w:color w:val="002060"/>
      <w:sz w:val="22"/>
    </w:r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DF7591"/>
    <w:pPr>
      <w:jc w:val="center"/>
    </w:pPr>
    <w:rPr>
      <w:b/>
      <w:color w:val="C00000"/>
      <w:sz w:val="28"/>
    </w:rPr>
  </w:style>
  <w:style w:type="paragraph" w:customStyle="1" w:styleId="TableColumnHeadingLeft">
    <w:name w:val="Table Column Heading Left"/>
    <w:basedOn w:val="TableTextLeft"/>
    <w:rsid w:val="00DF7591"/>
    <w:rPr>
      <w:b/>
      <w:color w:val="002060"/>
      <w:sz w:val="24"/>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92238"/>
    <w:pPr>
      <w:jc w:val="left"/>
    </w:pPr>
    <w:rPr>
      <w:sz w:val="22"/>
    </w:r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B37C6C"/>
    <w:pPr>
      <w:keepNext/>
      <w:tabs>
        <w:tab w:val="right" w:leader="dot" w:pos="9072"/>
      </w:tabs>
      <w:spacing w:before="180" w:after="0"/>
      <w:ind w:right="-2"/>
    </w:pPr>
    <w:rPr>
      <w:b/>
      <w:noProof/>
      <w:color w:val="002060"/>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3857B7"/>
    <w:pPr>
      <w:spacing w:before="0"/>
      <w:contextualSpacing/>
      <w:jc w:val="right"/>
    </w:pPr>
    <w:rPr>
      <w:rFonts w:eastAsiaTheme="majorEastAsia" w:cstheme="majorBidi"/>
      <w:caps/>
      <w:color w:val="002060"/>
      <w:spacing w:val="5"/>
      <w:kern w:val="28"/>
      <w:sz w:val="64"/>
      <w:szCs w:val="52"/>
    </w:rPr>
  </w:style>
  <w:style w:type="character" w:customStyle="1" w:styleId="TitleChar">
    <w:name w:val="Title Char"/>
    <w:basedOn w:val="DefaultParagraphFont"/>
    <w:link w:val="Title"/>
    <w:uiPriority w:val="10"/>
    <w:rsid w:val="003857B7"/>
    <w:rPr>
      <w:rFonts w:ascii="Calibri" w:eastAsiaTheme="majorEastAsia" w:hAnsi="Calibri" w:cstheme="majorBidi"/>
      <w:caps/>
      <w:color w:val="002060"/>
      <w:spacing w:val="5"/>
      <w:kern w:val="28"/>
      <w:sz w:val="64"/>
      <w:szCs w:val="52"/>
      <w:lang w:eastAsia="en-AU"/>
    </w:rPr>
  </w:style>
  <w:style w:type="paragraph" w:styleId="Subtitle">
    <w:name w:val="Subtitle"/>
    <w:basedOn w:val="Normal"/>
    <w:next w:val="Normal"/>
    <w:link w:val="SubtitleChar"/>
    <w:uiPriority w:val="11"/>
    <w:qFormat/>
    <w:rsid w:val="003857B7"/>
    <w:pPr>
      <w:numPr>
        <w:ilvl w:val="1"/>
      </w:numPr>
      <w:jc w:val="right"/>
    </w:pPr>
    <w:rPr>
      <w:rFonts w:eastAsiaTheme="majorEastAsia" w:cstheme="majorBidi"/>
      <w:iCs/>
      <w:color w:val="595959" w:themeColor="text1" w:themeTint="A6"/>
      <w:sz w:val="44"/>
      <w:szCs w:val="44"/>
    </w:rPr>
  </w:style>
  <w:style w:type="character" w:customStyle="1" w:styleId="SubtitleChar">
    <w:name w:val="Subtitle Char"/>
    <w:basedOn w:val="DefaultParagraphFont"/>
    <w:link w:val="Subtitle"/>
    <w:uiPriority w:val="11"/>
    <w:rsid w:val="003857B7"/>
    <w:rPr>
      <w:rFonts w:ascii="Calibri" w:eastAsiaTheme="majorEastAsia" w:hAnsi="Calibri" w:cstheme="majorBidi"/>
      <w:iCs/>
      <w:color w:val="595959" w:themeColor="text1" w:themeTint="A6"/>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3857B7"/>
    <w:rPr>
      <w:rFonts w:ascii="Calibri" w:eastAsia="Times New Roman" w:hAnsi="Calibri" w:cs="Times New Roman"/>
      <w:color w:val="FFFFFF" w:themeColor="background1"/>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customStyle="1" w:styleId="Introductionparagraph">
    <w:name w:val="Introduction paragraph"/>
    <w:basedOn w:val="Normal"/>
    <w:qFormat/>
    <w:rsid w:val="00092238"/>
    <w:pPr>
      <w:spacing w:after="240"/>
    </w:pPr>
    <w:rPr>
      <w:color w:val="002060"/>
      <w:sz w:val="28"/>
      <w:szCs w:val="32"/>
    </w:rPr>
  </w:style>
  <w:style w:type="paragraph" w:styleId="ListParagraph">
    <w:name w:val="List Paragraph"/>
    <w:basedOn w:val="Normal"/>
    <w:uiPriority w:val="34"/>
    <w:qFormat/>
    <w:rsid w:val="00A7467F"/>
    <w:pPr>
      <w:spacing w:before="0" w:after="0"/>
      <w:ind w:left="720"/>
    </w:pPr>
    <w:rPr>
      <w:szCs w:val="22"/>
      <w:lang w:eastAsia="en-US"/>
    </w:rPr>
  </w:style>
  <w:style w:type="paragraph" w:customStyle="1" w:styleId="SingleParagraph0">
    <w:name w:val="SingleParagraph"/>
    <w:basedOn w:val="Normal"/>
    <w:next w:val="Normal"/>
    <w:rsid w:val="00A7467F"/>
    <w:pPr>
      <w:keepNext/>
      <w:spacing w:before="0" w:after="0"/>
      <w:jc w:val="both"/>
    </w:pPr>
    <w:rPr>
      <w:rFonts w:ascii="Book Antiqua" w:hAnsi="Book Antiqua"/>
      <w:color w:val="000000"/>
      <w:sz w:val="20"/>
    </w:rPr>
  </w:style>
  <w:style w:type="paragraph" w:customStyle="1" w:styleId="TESHeading5">
    <w:name w:val="TES Heading 5"/>
    <w:basedOn w:val="Normal"/>
    <w:next w:val="Normal"/>
    <w:rsid w:val="00A7467F"/>
    <w:pPr>
      <w:keepNext/>
      <w:tabs>
        <w:tab w:val="left" w:pos="567"/>
      </w:tabs>
      <w:spacing w:before="240"/>
      <w:ind w:left="567" w:hanging="567"/>
    </w:pPr>
    <w:rPr>
      <w:rFonts w:ascii="Arial" w:hAnsi="Arial"/>
      <w:b/>
      <w:sz w:val="20"/>
    </w:rPr>
  </w:style>
  <w:style w:type="character" w:customStyle="1" w:styleId="BulletChar">
    <w:name w:val="Bullet Char"/>
    <w:link w:val="Bullet"/>
    <w:rsid w:val="00A7467F"/>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A7467F"/>
    <w:rPr>
      <w:sz w:val="16"/>
      <w:szCs w:val="16"/>
    </w:rPr>
  </w:style>
  <w:style w:type="paragraph" w:styleId="CommentText">
    <w:name w:val="annotation text"/>
    <w:basedOn w:val="Normal"/>
    <w:link w:val="CommentTextChar"/>
    <w:uiPriority w:val="99"/>
    <w:semiHidden/>
    <w:unhideWhenUsed/>
    <w:rsid w:val="00A7467F"/>
    <w:pPr>
      <w:spacing w:before="0"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A7467F"/>
    <w:rPr>
      <w:sz w:val="20"/>
      <w:szCs w:val="20"/>
    </w:rPr>
  </w:style>
  <w:style w:type="paragraph" w:customStyle="1" w:styleId="SecurityClassificationHeader">
    <w:name w:val="Security Classification Header"/>
    <w:link w:val="SecurityClassificationHeaderChar"/>
    <w:rsid w:val="00A24FB1"/>
    <w:pPr>
      <w:spacing w:before="240" w:after="60"/>
      <w:jc w:val="center"/>
    </w:pPr>
    <w:rPr>
      <w:rFonts w:ascii="Calibri" w:eastAsia="Times New Roman" w:hAnsi="Calibri" w:cs="Times New Roman"/>
      <w:b/>
      <w:caps/>
      <w:color w:val="004A7F"/>
      <w:sz w:val="24"/>
      <w:szCs w:val="20"/>
      <w:lang w:eastAsia="en-AU"/>
    </w:rPr>
  </w:style>
  <w:style w:type="character" w:customStyle="1" w:styleId="SecurityClassificationHeaderChar">
    <w:name w:val="Security Classification Header Char"/>
    <w:basedOn w:val="HeaderChar"/>
    <w:link w:val="SecurityClassificationHeader"/>
    <w:rsid w:val="00A24FB1"/>
    <w:rPr>
      <w:rFonts w:ascii="Calibri" w:eastAsia="Times New Roman" w:hAnsi="Calibri" w:cs="Times New Roman"/>
      <w:b/>
      <w:caps/>
      <w:color w:val="004A7F"/>
      <w:sz w:val="24"/>
      <w:szCs w:val="20"/>
      <w:lang w:eastAsia="en-AU"/>
    </w:rPr>
  </w:style>
  <w:style w:type="paragraph" w:customStyle="1" w:styleId="SecurityClassificationFooter">
    <w:name w:val="Security Classification Footer"/>
    <w:link w:val="SecurityClassificationFooterChar"/>
    <w:rsid w:val="00A24FB1"/>
    <w:pPr>
      <w:spacing w:before="60" w:after="240"/>
      <w:jc w:val="center"/>
    </w:pPr>
    <w:rPr>
      <w:rFonts w:ascii="Calibri" w:eastAsia="Times New Roman" w:hAnsi="Calibri" w:cs="Times New Roman"/>
      <w:b/>
      <w:caps/>
      <w:color w:val="004A7F"/>
      <w:sz w:val="24"/>
      <w:szCs w:val="20"/>
      <w:lang w:eastAsia="en-AU"/>
    </w:rPr>
  </w:style>
  <w:style w:type="character" w:customStyle="1" w:styleId="SecurityClassificationFooterChar">
    <w:name w:val="Security Classification Footer Char"/>
    <w:basedOn w:val="HeaderChar"/>
    <w:link w:val="SecurityClassificationFooter"/>
    <w:rsid w:val="00A24FB1"/>
    <w:rPr>
      <w:rFonts w:ascii="Calibri" w:eastAsia="Times New Roman" w:hAnsi="Calibri" w:cs="Times New Roman"/>
      <w:b/>
      <w:caps/>
      <w:color w:val="004A7F"/>
      <w:sz w:val="24"/>
      <w:szCs w:val="20"/>
      <w:lang w:eastAsia="en-AU"/>
    </w:rPr>
  </w:style>
  <w:style w:type="paragraph" w:customStyle="1" w:styleId="DLMSecurityHeader">
    <w:name w:val="DLM Security Header"/>
    <w:link w:val="DLMSecurityHeaderChar"/>
    <w:rsid w:val="00A24FB1"/>
    <w:pPr>
      <w:spacing w:before="60" w:after="240"/>
      <w:jc w:val="center"/>
    </w:pPr>
    <w:rPr>
      <w:rFonts w:ascii="Calibri" w:eastAsia="Times New Roman" w:hAnsi="Calibri" w:cs="Times New Roman"/>
      <w:b/>
      <w:caps/>
      <w:color w:val="004A7F"/>
      <w:sz w:val="24"/>
      <w:szCs w:val="20"/>
      <w:lang w:eastAsia="en-AU"/>
    </w:rPr>
  </w:style>
  <w:style w:type="character" w:customStyle="1" w:styleId="DLMSecurityHeaderChar">
    <w:name w:val="DLM Security Header Char"/>
    <w:basedOn w:val="HeaderChar"/>
    <w:link w:val="DLMSecurityHeader"/>
    <w:rsid w:val="00A24FB1"/>
    <w:rPr>
      <w:rFonts w:ascii="Calibri" w:eastAsia="Times New Roman" w:hAnsi="Calibri" w:cs="Times New Roman"/>
      <w:b/>
      <w:caps/>
      <w:color w:val="004A7F"/>
      <w:sz w:val="24"/>
      <w:szCs w:val="20"/>
      <w:lang w:eastAsia="en-AU"/>
    </w:rPr>
  </w:style>
  <w:style w:type="paragraph" w:customStyle="1" w:styleId="DLMSecurityFooter">
    <w:name w:val="DLM Security Footer"/>
    <w:link w:val="DLMSecurityFooterChar"/>
    <w:rsid w:val="00A24FB1"/>
    <w:pPr>
      <w:spacing w:before="240" w:after="60"/>
      <w:jc w:val="center"/>
    </w:pPr>
    <w:rPr>
      <w:rFonts w:ascii="Calibri" w:eastAsia="Times New Roman" w:hAnsi="Calibri" w:cs="Times New Roman"/>
      <w:b/>
      <w:caps/>
      <w:color w:val="004A7F"/>
      <w:sz w:val="24"/>
      <w:szCs w:val="20"/>
      <w:lang w:eastAsia="en-AU"/>
    </w:rPr>
  </w:style>
  <w:style w:type="character" w:customStyle="1" w:styleId="DLMSecurityFooterChar">
    <w:name w:val="DLM Security Footer Char"/>
    <w:basedOn w:val="HeaderChar"/>
    <w:link w:val="DLMSecurityFooter"/>
    <w:rsid w:val="00A24FB1"/>
    <w:rPr>
      <w:rFonts w:ascii="Calibri" w:eastAsia="Times New Roman" w:hAnsi="Calibri" w:cs="Times New Roman"/>
      <w:b/>
      <w:caps/>
      <w:color w:val="004A7F"/>
      <w:sz w:val="24"/>
      <w:szCs w:val="20"/>
      <w:lang w:eastAsia="en-AU"/>
    </w:rPr>
  </w:style>
  <w:style w:type="paragraph" w:styleId="CommentSubject">
    <w:name w:val="annotation subject"/>
    <w:basedOn w:val="CommentText"/>
    <w:next w:val="CommentText"/>
    <w:link w:val="CommentSubjectChar"/>
    <w:uiPriority w:val="99"/>
    <w:semiHidden/>
    <w:unhideWhenUsed/>
    <w:rsid w:val="00F878AA"/>
    <w:pPr>
      <w:spacing w:before="120" w:after="120"/>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F878AA"/>
    <w:rPr>
      <w:rFonts w:ascii="Calibri" w:eastAsia="Times New Roman" w:hAnsi="Calibri" w:cs="Times New Roman"/>
      <w:b/>
      <w:bCs/>
      <w:sz w:val="20"/>
      <w:szCs w:val="20"/>
      <w:lang w:eastAsia="en-AU"/>
    </w:rPr>
  </w:style>
  <w:style w:type="character" w:customStyle="1" w:styleId="DashChar">
    <w:name w:val="Dash Char"/>
    <w:basedOn w:val="DefaultParagraphFont"/>
    <w:link w:val="Dash"/>
    <w:rsid w:val="007975BB"/>
    <w:rPr>
      <w:rFonts w:ascii="Calibri" w:eastAsia="Times New Roman" w:hAnsi="Calibri" w:cs="Times New Roman"/>
      <w:szCs w:val="20"/>
      <w:lang w:eastAsia="en-AU"/>
    </w:rPr>
  </w:style>
  <w:style w:type="character" w:customStyle="1" w:styleId="OutlineNumbered1Char">
    <w:name w:val="Outline Numbered 1 Char"/>
    <w:basedOn w:val="DefaultParagraphFont"/>
    <w:link w:val="OutlineNumbered1"/>
    <w:rsid w:val="007975BB"/>
    <w:rPr>
      <w:rFonts w:ascii="Calibri" w:eastAsia="Times New Roman" w:hAnsi="Calibri" w:cs="Times New Roman"/>
      <w:szCs w:val="20"/>
      <w:lang w:eastAsia="en-AU"/>
    </w:rPr>
  </w:style>
  <w:style w:type="character" w:styleId="FollowedHyperlink">
    <w:name w:val="FollowedHyperlink"/>
    <w:basedOn w:val="DefaultParagraphFont"/>
    <w:uiPriority w:val="99"/>
    <w:semiHidden/>
    <w:unhideWhenUsed/>
    <w:rsid w:val="001408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5388">
      <w:bodyDiv w:val="1"/>
      <w:marLeft w:val="0"/>
      <w:marRight w:val="0"/>
      <w:marTop w:val="0"/>
      <w:marBottom w:val="0"/>
      <w:divBdr>
        <w:top w:val="none" w:sz="0" w:space="0" w:color="auto"/>
        <w:left w:val="none" w:sz="0" w:space="0" w:color="auto"/>
        <w:bottom w:val="none" w:sz="0" w:space="0" w:color="auto"/>
        <w:right w:val="none" w:sz="0" w:space="0" w:color="auto"/>
      </w:divBdr>
    </w:div>
    <w:div w:id="279145611">
      <w:bodyDiv w:val="1"/>
      <w:marLeft w:val="0"/>
      <w:marRight w:val="0"/>
      <w:marTop w:val="0"/>
      <w:marBottom w:val="0"/>
      <w:divBdr>
        <w:top w:val="none" w:sz="0" w:space="0" w:color="auto"/>
        <w:left w:val="none" w:sz="0" w:space="0" w:color="auto"/>
        <w:bottom w:val="none" w:sz="0" w:space="0" w:color="auto"/>
        <w:right w:val="none" w:sz="0" w:space="0" w:color="auto"/>
      </w:divBdr>
    </w:div>
    <w:div w:id="400251306">
      <w:bodyDiv w:val="1"/>
      <w:marLeft w:val="0"/>
      <w:marRight w:val="0"/>
      <w:marTop w:val="0"/>
      <w:marBottom w:val="0"/>
      <w:divBdr>
        <w:top w:val="none" w:sz="0" w:space="0" w:color="auto"/>
        <w:left w:val="none" w:sz="0" w:space="0" w:color="auto"/>
        <w:bottom w:val="none" w:sz="0" w:space="0" w:color="auto"/>
        <w:right w:val="none" w:sz="0" w:space="0" w:color="auto"/>
      </w:divBdr>
    </w:div>
    <w:div w:id="413472718">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453334356">
      <w:bodyDiv w:val="1"/>
      <w:marLeft w:val="0"/>
      <w:marRight w:val="0"/>
      <w:marTop w:val="0"/>
      <w:marBottom w:val="0"/>
      <w:divBdr>
        <w:top w:val="none" w:sz="0" w:space="0" w:color="auto"/>
        <w:left w:val="none" w:sz="0" w:space="0" w:color="auto"/>
        <w:bottom w:val="none" w:sz="0" w:space="0" w:color="auto"/>
        <w:right w:val="none" w:sz="0" w:space="0" w:color="auto"/>
      </w:divBdr>
    </w:div>
    <w:div w:id="467476162">
      <w:bodyDiv w:val="1"/>
      <w:marLeft w:val="0"/>
      <w:marRight w:val="0"/>
      <w:marTop w:val="0"/>
      <w:marBottom w:val="0"/>
      <w:divBdr>
        <w:top w:val="none" w:sz="0" w:space="0" w:color="auto"/>
        <w:left w:val="none" w:sz="0" w:space="0" w:color="auto"/>
        <w:bottom w:val="none" w:sz="0" w:space="0" w:color="auto"/>
        <w:right w:val="none" w:sz="0" w:space="0" w:color="auto"/>
      </w:divBdr>
    </w:div>
    <w:div w:id="494305023">
      <w:bodyDiv w:val="1"/>
      <w:marLeft w:val="0"/>
      <w:marRight w:val="0"/>
      <w:marTop w:val="0"/>
      <w:marBottom w:val="0"/>
      <w:divBdr>
        <w:top w:val="none" w:sz="0" w:space="0" w:color="auto"/>
        <w:left w:val="none" w:sz="0" w:space="0" w:color="auto"/>
        <w:bottom w:val="none" w:sz="0" w:space="0" w:color="auto"/>
        <w:right w:val="none" w:sz="0" w:space="0" w:color="auto"/>
      </w:divBdr>
    </w:div>
    <w:div w:id="583346807">
      <w:bodyDiv w:val="1"/>
      <w:marLeft w:val="0"/>
      <w:marRight w:val="0"/>
      <w:marTop w:val="0"/>
      <w:marBottom w:val="0"/>
      <w:divBdr>
        <w:top w:val="none" w:sz="0" w:space="0" w:color="auto"/>
        <w:left w:val="none" w:sz="0" w:space="0" w:color="auto"/>
        <w:bottom w:val="none" w:sz="0" w:space="0" w:color="auto"/>
        <w:right w:val="none" w:sz="0" w:space="0" w:color="auto"/>
      </w:divBdr>
    </w:div>
    <w:div w:id="602760344">
      <w:bodyDiv w:val="1"/>
      <w:marLeft w:val="0"/>
      <w:marRight w:val="0"/>
      <w:marTop w:val="0"/>
      <w:marBottom w:val="0"/>
      <w:divBdr>
        <w:top w:val="none" w:sz="0" w:space="0" w:color="auto"/>
        <w:left w:val="none" w:sz="0" w:space="0" w:color="auto"/>
        <w:bottom w:val="none" w:sz="0" w:space="0" w:color="auto"/>
        <w:right w:val="none" w:sz="0" w:space="0" w:color="auto"/>
      </w:divBdr>
    </w:div>
    <w:div w:id="620723956">
      <w:bodyDiv w:val="1"/>
      <w:marLeft w:val="0"/>
      <w:marRight w:val="0"/>
      <w:marTop w:val="0"/>
      <w:marBottom w:val="0"/>
      <w:divBdr>
        <w:top w:val="none" w:sz="0" w:space="0" w:color="auto"/>
        <w:left w:val="none" w:sz="0" w:space="0" w:color="auto"/>
        <w:bottom w:val="none" w:sz="0" w:space="0" w:color="auto"/>
        <w:right w:val="none" w:sz="0" w:space="0" w:color="auto"/>
      </w:divBdr>
    </w:div>
    <w:div w:id="659776274">
      <w:bodyDiv w:val="1"/>
      <w:marLeft w:val="0"/>
      <w:marRight w:val="0"/>
      <w:marTop w:val="0"/>
      <w:marBottom w:val="0"/>
      <w:divBdr>
        <w:top w:val="none" w:sz="0" w:space="0" w:color="auto"/>
        <w:left w:val="none" w:sz="0" w:space="0" w:color="auto"/>
        <w:bottom w:val="none" w:sz="0" w:space="0" w:color="auto"/>
        <w:right w:val="none" w:sz="0" w:space="0" w:color="auto"/>
      </w:divBdr>
    </w:div>
    <w:div w:id="665747447">
      <w:bodyDiv w:val="1"/>
      <w:marLeft w:val="0"/>
      <w:marRight w:val="0"/>
      <w:marTop w:val="0"/>
      <w:marBottom w:val="0"/>
      <w:divBdr>
        <w:top w:val="none" w:sz="0" w:space="0" w:color="auto"/>
        <w:left w:val="none" w:sz="0" w:space="0" w:color="auto"/>
        <w:bottom w:val="none" w:sz="0" w:space="0" w:color="auto"/>
        <w:right w:val="none" w:sz="0" w:space="0" w:color="auto"/>
      </w:divBdr>
    </w:div>
    <w:div w:id="727260887">
      <w:bodyDiv w:val="1"/>
      <w:marLeft w:val="0"/>
      <w:marRight w:val="0"/>
      <w:marTop w:val="0"/>
      <w:marBottom w:val="0"/>
      <w:divBdr>
        <w:top w:val="none" w:sz="0" w:space="0" w:color="auto"/>
        <w:left w:val="none" w:sz="0" w:space="0" w:color="auto"/>
        <w:bottom w:val="none" w:sz="0" w:space="0" w:color="auto"/>
        <w:right w:val="none" w:sz="0" w:space="0" w:color="auto"/>
      </w:divBdr>
    </w:div>
    <w:div w:id="776871881">
      <w:bodyDiv w:val="1"/>
      <w:marLeft w:val="0"/>
      <w:marRight w:val="0"/>
      <w:marTop w:val="0"/>
      <w:marBottom w:val="0"/>
      <w:divBdr>
        <w:top w:val="none" w:sz="0" w:space="0" w:color="auto"/>
        <w:left w:val="none" w:sz="0" w:space="0" w:color="auto"/>
        <w:bottom w:val="none" w:sz="0" w:space="0" w:color="auto"/>
        <w:right w:val="none" w:sz="0" w:space="0" w:color="auto"/>
      </w:divBdr>
    </w:div>
    <w:div w:id="779183629">
      <w:bodyDiv w:val="1"/>
      <w:marLeft w:val="0"/>
      <w:marRight w:val="0"/>
      <w:marTop w:val="0"/>
      <w:marBottom w:val="0"/>
      <w:divBdr>
        <w:top w:val="none" w:sz="0" w:space="0" w:color="auto"/>
        <w:left w:val="none" w:sz="0" w:space="0" w:color="auto"/>
        <w:bottom w:val="none" w:sz="0" w:space="0" w:color="auto"/>
        <w:right w:val="none" w:sz="0" w:space="0" w:color="auto"/>
      </w:divBdr>
    </w:div>
    <w:div w:id="898327663">
      <w:bodyDiv w:val="1"/>
      <w:marLeft w:val="0"/>
      <w:marRight w:val="0"/>
      <w:marTop w:val="0"/>
      <w:marBottom w:val="0"/>
      <w:divBdr>
        <w:top w:val="none" w:sz="0" w:space="0" w:color="auto"/>
        <w:left w:val="none" w:sz="0" w:space="0" w:color="auto"/>
        <w:bottom w:val="none" w:sz="0" w:space="0" w:color="auto"/>
        <w:right w:val="none" w:sz="0" w:space="0" w:color="auto"/>
      </w:divBdr>
    </w:div>
    <w:div w:id="936451555">
      <w:bodyDiv w:val="1"/>
      <w:marLeft w:val="0"/>
      <w:marRight w:val="0"/>
      <w:marTop w:val="0"/>
      <w:marBottom w:val="0"/>
      <w:divBdr>
        <w:top w:val="none" w:sz="0" w:space="0" w:color="auto"/>
        <w:left w:val="none" w:sz="0" w:space="0" w:color="auto"/>
        <w:bottom w:val="none" w:sz="0" w:space="0" w:color="auto"/>
        <w:right w:val="none" w:sz="0" w:space="0" w:color="auto"/>
      </w:divBdr>
      <w:divsChild>
        <w:div w:id="1641153994">
          <w:marLeft w:val="446"/>
          <w:marRight w:val="0"/>
          <w:marTop w:val="0"/>
          <w:marBottom w:val="0"/>
          <w:divBdr>
            <w:top w:val="none" w:sz="0" w:space="0" w:color="auto"/>
            <w:left w:val="none" w:sz="0" w:space="0" w:color="auto"/>
            <w:bottom w:val="none" w:sz="0" w:space="0" w:color="auto"/>
            <w:right w:val="none" w:sz="0" w:space="0" w:color="auto"/>
          </w:divBdr>
        </w:div>
        <w:div w:id="192694941">
          <w:marLeft w:val="446"/>
          <w:marRight w:val="0"/>
          <w:marTop w:val="0"/>
          <w:marBottom w:val="0"/>
          <w:divBdr>
            <w:top w:val="none" w:sz="0" w:space="0" w:color="auto"/>
            <w:left w:val="none" w:sz="0" w:space="0" w:color="auto"/>
            <w:bottom w:val="none" w:sz="0" w:space="0" w:color="auto"/>
            <w:right w:val="none" w:sz="0" w:space="0" w:color="auto"/>
          </w:divBdr>
        </w:div>
        <w:div w:id="587081181">
          <w:marLeft w:val="360"/>
          <w:marRight w:val="0"/>
          <w:marTop w:val="0"/>
          <w:marBottom w:val="0"/>
          <w:divBdr>
            <w:top w:val="none" w:sz="0" w:space="0" w:color="auto"/>
            <w:left w:val="none" w:sz="0" w:space="0" w:color="auto"/>
            <w:bottom w:val="none" w:sz="0" w:space="0" w:color="auto"/>
            <w:right w:val="none" w:sz="0" w:space="0" w:color="auto"/>
          </w:divBdr>
        </w:div>
        <w:div w:id="1128399306">
          <w:marLeft w:val="360"/>
          <w:marRight w:val="0"/>
          <w:marTop w:val="0"/>
          <w:marBottom w:val="0"/>
          <w:divBdr>
            <w:top w:val="none" w:sz="0" w:space="0" w:color="auto"/>
            <w:left w:val="none" w:sz="0" w:space="0" w:color="auto"/>
            <w:bottom w:val="none" w:sz="0" w:space="0" w:color="auto"/>
            <w:right w:val="none" w:sz="0" w:space="0" w:color="auto"/>
          </w:divBdr>
        </w:div>
        <w:div w:id="1508591155">
          <w:marLeft w:val="360"/>
          <w:marRight w:val="0"/>
          <w:marTop w:val="0"/>
          <w:marBottom w:val="0"/>
          <w:divBdr>
            <w:top w:val="none" w:sz="0" w:space="0" w:color="auto"/>
            <w:left w:val="none" w:sz="0" w:space="0" w:color="auto"/>
            <w:bottom w:val="none" w:sz="0" w:space="0" w:color="auto"/>
            <w:right w:val="none" w:sz="0" w:space="0" w:color="auto"/>
          </w:divBdr>
        </w:div>
        <w:div w:id="263340438">
          <w:marLeft w:val="1166"/>
          <w:marRight w:val="0"/>
          <w:marTop w:val="0"/>
          <w:marBottom w:val="0"/>
          <w:divBdr>
            <w:top w:val="none" w:sz="0" w:space="0" w:color="auto"/>
            <w:left w:val="none" w:sz="0" w:space="0" w:color="auto"/>
            <w:bottom w:val="none" w:sz="0" w:space="0" w:color="auto"/>
            <w:right w:val="none" w:sz="0" w:space="0" w:color="auto"/>
          </w:divBdr>
        </w:div>
        <w:div w:id="1803959707">
          <w:marLeft w:val="1166"/>
          <w:marRight w:val="0"/>
          <w:marTop w:val="0"/>
          <w:marBottom w:val="0"/>
          <w:divBdr>
            <w:top w:val="none" w:sz="0" w:space="0" w:color="auto"/>
            <w:left w:val="none" w:sz="0" w:space="0" w:color="auto"/>
            <w:bottom w:val="none" w:sz="0" w:space="0" w:color="auto"/>
            <w:right w:val="none" w:sz="0" w:space="0" w:color="auto"/>
          </w:divBdr>
        </w:div>
        <w:div w:id="119417726">
          <w:marLeft w:val="446"/>
          <w:marRight w:val="0"/>
          <w:marTop w:val="0"/>
          <w:marBottom w:val="0"/>
          <w:divBdr>
            <w:top w:val="none" w:sz="0" w:space="0" w:color="auto"/>
            <w:left w:val="none" w:sz="0" w:space="0" w:color="auto"/>
            <w:bottom w:val="none" w:sz="0" w:space="0" w:color="auto"/>
            <w:right w:val="none" w:sz="0" w:space="0" w:color="auto"/>
          </w:divBdr>
        </w:div>
        <w:div w:id="1090084742">
          <w:marLeft w:val="446"/>
          <w:marRight w:val="0"/>
          <w:marTop w:val="0"/>
          <w:marBottom w:val="0"/>
          <w:divBdr>
            <w:top w:val="none" w:sz="0" w:space="0" w:color="auto"/>
            <w:left w:val="none" w:sz="0" w:space="0" w:color="auto"/>
            <w:bottom w:val="none" w:sz="0" w:space="0" w:color="auto"/>
            <w:right w:val="none" w:sz="0" w:space="0" w:color="auto"/>
          </w:divBdr>
        </w:div>
      </w:divsChild>
    </w:div>
    <w:div w:id="1075736463">
      <w:bodyDiv w:val="1"/>
      <w:marLeft w:val="0"/>
      <w:marRight w:val="0"/>
      <w:marTop w:val="0"/>
      <w:marBottom w:val="0"/>
      <w:divBdr>
        <w:top w:val="none" w:sz="0" w:space="0" w:color="auto"/>
        <w:left w:val="none" w:sz="0" w:space="0" w:color="auto"/>
        <w:bottom w:val="none" w:sz="0" w:space="0" w:color="auto"/>
        <w:right w:val="none" w:sz="0" w:space="0" w:color="auto"/>
      </w:divBdr>
      <w:divsChild>
        <w:div w:id="1348405775">
          <w:marLeft w:val="446"/>
          <w:marRight w:val="0"/>
          <w:marTop w:val="0"/>
          <w:marBottom w:val="0"/>
          <w:divBdr>
            <w:top w:val="none" w:sz="0" w:space="0" w:color="auto"/>
            <w:left w:val="none" w:sz="0" w:space="0" w:color="auto"/>
            <w:bottom w:val="none" w:sz="0" w:space="0" w:color="auto"/>
            <w:right w:val="none" w:sz="0" w:space="0" w:color="auto"/>
          </w:divBdr>
        </w:div>
        <w:div w:id="1708294074">
          <w:marLeft w:val="446"/>
          <w:marRight w:val="0"/>
          <w:marTop w:val="0"/>
          <w:marBottom w:val="0"/>
          <w:divBdr>
            <w:top w:val="none" w:sz="0" w:space="0" w:color="auto"/>
            <w:left w:val="none" w:sz="0" w:space="0" w:color="auto"/>
            <w:bottom w:val="none" w:sz="0" w:space="0" w:color="auto"/>
            <w:right w:val="none" w:sz="0" w:space="0" w:color="auto"/>
          </w:divBdr>
        </w:div>
        <w:div w:id="969168706">
          <w:marLeft w:val="360"/>
          <w:marRight w:val="0"/>
          <w:marTop w:val="0"/>
          <w:marBottom w:val="0"/>
          <w:divBdr>
            <w:top w:val="none" w:sz="0" w:space="0" w:color="auto"/>
            <w:left w:val="none" w:sz="0" w:space="0" w:color="auto"/>
            <w:bottom w:val="none" w:sz="0" w:space="0" w:color="auto"/>
            <w:right w:val="none" w:sz="0" w:space="0" w:color="auto"/>
          </w:divBdr>
        </w:div>
        <w:div w:id="2103793173">
          <w:marLeft w:val="360"/>
          <w:marRight w:val="0"/>
          <w:marTop w:val="0"/>
          <w:marBottom w:val="0"/>
          <w:divBdr>
            <w:top w:val="none" w:sz="0" w:space="0" w:color="auto"/>
            <w:left w:val="none" w:sz="0" w:space="0" w:color="auto"/>
            <w:bottom w:val="none" w:sz="0" w:space="0" w:color="auto"/>
            <w:right w:val="none" w:sz="0" w:space="0" w:color="auto"/>
          </w:divBdr>
        </w:div>
        <w:div w:id="60568591">
          <w:marLeft w:val="360"/>
          <w:marRight w:val="0"/>
          <w:marTop w:val="0"/>
          <w:marBottom w:val="0"/>
          <w:divBdr>
            <w:top w:val="none" w:sz="0" w:space="0" w:color="auto"/>
            <w:left w:val="none" w:sz="0" w:space="0" w:color="auto"/>
            <w:bottom w:val="none" w:sz="0" w:space="0" w:color="auto"/>
            <w:right w:val="none" w:sz="0" w:space="0" w:color="auto"/>
          </w:divBdr>
        </w:div>
        <w:div w:id="1691030821">
          <w:marLeft w:val="1166"/>
          <w:marRight w:val="0"/>
          <w:marTop w:val="0"/>
          <w:marBottom w:val="0"/>
          <w:divBdr>
            <w:top w:val="none" w:sz="0" w:space="0" w:color="auto"/>
            <w:left w:val="none" w:sz="0" w:space="0" w:color="auto"/>
            <w:bottom w:val="none" w:sz="0" w:space="0" w:color="auto"/>
            <w:right w:val="none" w:sz="0" w:space="0" w:color="auto"/>
          </w:divBdr>
        </w:div>
        <w:div w:id="1106729164">
          <w:marLeft w:val="1166"/>
          <w:marRight w:val="0"/>
          <w:marTop w:val="0"/>
          <w:marBottom w:val="0"/>
          <w:divBdr>
            <w:top w:val="none" w:sz="0" w:space="0" w:color="auto"/>
            <w:left w:val="none" w:sz="0" w:space="0" w:color="auto"/>
            <w:bottom w:val="none" w:sz="0" w:space="0" w:color="auto"/>
            <w:right w:val="none" w:sz="0" w:space="0" w:color="auto"/>
          </w:divBdr>
        </w:div>
        <w:div w:id="1807042938">
          <w:marLeft w:val="446"/>
          <w:marRight w:val="0"/>
          <w:marTop w:val="0"/>
          <w:marBottom w:val="0"/>
          <w:divBdr>
            <w:top w:val="none" w:sz="0" w:space="0" w:color="auto"/>
            <w:left w:val="none" w:sz="0" w:space="0" w:color="auto"/>
            <w:bottom w:val="none" w:sz="0" w:space="0" w:color="auto"/>
            <w:right w:val="none" w:sz="0" w:space="0" w:color="auto"/>
          </w:divBdr>
        </w:div>
        <w:div w:id="797139786">
          <w:marLeft w:val="446"/>
          <w:marRight w:val="0"/>
          <w:marTop w:val="0"/>
          <w:marBottom w:val="0"/>
          <w:divBdr>
            <w:top w:val="none" w:sz="0" w:space="0" w:color="auto"/>
            <w:left w:val="none" w:sz="0" w:space="0" w:color="auto"/>
            <w:bottom w:val="none" w:sz="0" w:space="0" w:color="auto"/>
            <w:right w:val="none" w:sz="0" w:space="0" w:color="auto"/>
          </w:divBdr>
        </w:div>
      </w:divsChild>
    </w:div>
    <w:div w:id="1084375349">
      <w:bodyDiv w:val="1"/>
      <w:marLeft w:val="0"/>
      <w:marRight w:val="0"/>
      <w:marTop w:val="0"/>
      <w:marBottom w:val="0"/>
      <w:divBdr>
        <w:top w:val="none" w:sz="0" w:space="0" w:color="auto"/>
        <w:left w:val="none" w:sz="0" w:space="0" w:color="auto"/>
        <w:bottom w:val="none" w:sz="0" w:space="0" w:color="auto"/>
        <w:right w:val="none" w:sz="0" w:space="0" w:color="auto"/>
      </w:divBdr>
    </w:div>
    <w:div w:id="1106538248">
      <w:bodyDiv w:val="1"/>
      <w:marLeft w:val="0"/>
      <w:marRight w:val="0"/>
      <w:marTop w:val="0"/>
      <w:marBottom w:val="0"/>
      <w:divBdr>
        <w:top w:val="none" w:sz="0" w:space="0" w:color="auto"/>
        <w:left w:val="none" w:sz="0" w:space="0" w:color="auto"/>
        <w:bottom w:val="none" w:sz="0" w:space="0" w:color="auto"/>
        <w:right w:val="none" w:sz="0" w:space="0" w:color="auto"/>
      </w:divBdr>
    </w:div>
    <w:div w:id="1180387597">
      <w:bodyDiv w:val="1"/>
      <w:marLeft w:val="0"/>
      <w:marRight w:val="0"/>
      <w:marTop w:val="0"/>
      <w:marBottom w:val="0"/>
      <w:divBdr>
        <w:top w:val="none" w:sz="0" w:space="0" w:color="auto"/>
        <w:left w:val="none" w:sz="0" w:space="0" w:color="auto"/>
        <w:bottom w:val="none" w:sz="0" w:space="0" w:color="auto"/>
        <w:right w:val="none" w:sz="0" w:space="0" w:color="auto"/>
      </w:divBdr>
    </w:div>
    <w:div w:id="1230072105">
      <w:bodyDiv w:val="1"/>
      <w:marLeft w:val="0"/>
      <w:marRight w:val="0"/>
      <w:marTop w:val="0"/>
      <w:marBottom w:val="0"/>
      <w:divBdr>
        <w:top w:val="none" w:sz="0" w:space="0" w:color="auto"/>
        <w:left w:val="none" w:sz="0" w:space="0" w:color="auto"/>
        <w:bottom w:val="none" w:sz="0" w:space="0" w:color="auto"/>
        <w:right w:val="none" w:sz="0" w:space="0" w:color="auto"/>
      </w:divBdr>
    </w:div>
    <w:div w:id="1338581093">
      <w:bodyDiv w:val="1"/>
      <w:marLeft w:val="0"/>
      <w:marRight w:val="0"/>
      <w:marTop w:val="0"/>
      <w:marBottom w:val="0"/>
      <w:divBdr>
        <w:top w:val="none" w:sz="0" w:space="0" w:color="auto"/>
        <w:left w:val="none" w:sz="0" w:space="0" w:color="auto"/>
        <w:bottom w:val="none" w:sz="0" w:space="0" w:color="auto"/>
        <w:right w:val="none" w:sz="0" w:space="0" w:color="auto"/>
      </w:divBdr>
    </w:div>
    <w:div w:id="1394087336">
      <w:bodyDiv w:val="1"/>
      <w:marLeft w:val="0"/>
      <w:marRight w:val="0"/>
      <w:marTop w:val="0"/>
      <w:marBottom w:val="0"/>
      <w:divBdr>
        <w:top w:val="none" w:sz="0" w:space="0" w:color="auto"/>
        <w:left w:val="none" w:sz="0" w:space="0" w:color="auto"/>
        <w:bottom w:val="none" w:sz="0" w:space="0" w:color="auto"/>
        <w:right w:val="none" w:sz="0" w:space="0" w:color="auto"/>
      </w:divBdr>
    </w:div>
    <w:div w:id="1432773029">
      <w:bodyDiv w:val="1"/>
      <w:marLeft w:val="0"/>
      <w:marRight w:val="0"/>
      <w:marTop w:val="0"/>
      <w:marBottom w:val="0"/>
      <w:divBdr>
        <w:top w:val="none" w:sz="0" w:space="0" w:color="auto"/>
        <w:left w:val="none" w:sz="0" w:space="0" w:color="auto"/>
        <w:bottom w:val="none" w:sz="0" w:space="0" w:color="auto"/>
        <w:right w:val="none" w:sz="0" w:space="0" w:color="auto"/>
      </w:divBdr>
      <w:divsChild>
        <w:div w:id="1070999753">
          <w:marLeft w:val="0"/>
          <w:marRight w:val="0"/>
          <w:marTop w:val="0"/>
          <w:marBottom w:val="240"/>
          <w:divBdr>
            <w:top w:val="none" w:sz="0" w:space="0" w:color="auto"/>
            <w:left w:val="none" w:sz="0" w:space="0" w:color="auto"/>
            <w:bottom w:val="none" w:sz="0" w:space="0" w:color="auto"/>
            <w:right w:val="none" w:sz="0" w:space="0" w:color="auto"/>
          </w:divBdr>
        </w:div>
        <w:div w:id="683046412">
          <w:marLeft w:val="0"/>
          <w:marRight w:val="0"/>
          <w:marTop w:val="0"/>
          <w:marBottom w:val="240"/>
          <w:divBdr>
            <w:top w:val="none" w:sz="0" w:space="0" w:color="auto"/>
            <w:left w:val="none" w:sz="0" w:space="0" w:color="auto"/>
            <w:bottom w:val="none" w:sz="0" w:space="0" w:color="auto"/>
            <w:right w:val="none" w:sz="0" w:space="0" w:color="auto"/>
          </w:divBdr>
        </w:div>
        <w:div w:id="1370447010">
          <w:marLeft w:val="0"/>
          <w:marRight w:val="0"/>
          <w:marTop w:val="0"/>
          <w:marBottom w:val="240"/>
          <w:divBdr>
            <w:top w:val="none" w:sz="0" w:space="0" w:color="auto"/>
            <w:left w:val="none" w:sz="0" w:space="0" w:color="auto"/>
            <w:bottom w:val="none" w:sz="0" w:space="0" w:color="auto"/>
            <w:right w:val="none" w:sz="0" w:space="0" w:color="auto"/>
          </w:divBdr>
        </w:div>
      </w:divsChild>
    </w:div>
    <w:div w:id="1476754975">
      <w:bodyDiv w:val="1"/>
      <w:marLeft w:val="0"/>
      <w:marRight w:val="0"/>
      <w:marTop w:val="0"/>
      <w:marBottom w:val="0"/>
      <w:divBdr>
        <w:top w:val="none" w:sz="0" w:space="0" w:color="auto"/>
        <w:left w:val="none" w:sz="0" w:space="0" w:color="auto"/>
        <w:bottom w:val="none" w:sz="0" w:space="0" w:color="auto"/>
        <w:right w:val="none" w:sz="0" w:space="0" w:color="auto"/>
      </w:divBdr>
    </w:div>
    <w:div w:id="1528257174">
      <w:bodyDiv w:val="1"/>
      <w:marLeft w:val="0"/>
      <w:marRight w:val="0"/>
      <w:marTop w:val="0"/>
      <w:marBottom w:val="0"/>
      <w:divBdr>
        <w:top w:val="none" w:sz="0" w:space="0" w:color="auto"/>
        <w:left w:val="none" w:sz="0" w:space="0" w:color="auto"/>
        <w:bottom w:val="none" w:sz="0" w:space="0" w:color="auto"/>
        <w:right w:val="none" w:sz="0" w:space="0" w:color="auto"/>
      </w:divBdr>
    </w:div>
    <w:div w:id="1571040363">
      <w:bodyDiv w:val="1"/>
      <w:marLeft w:val="0"/>
      <w:marRight w:val="0"/>
      <w:marTop w:val="0"/>
      <w:marBottom w:val="0"/>
      <w:divBdr>
        <w:top w:val="none" w:sz="0" w:space="0" w:color="auto"/>
        <w:left w:val="none" w:sz="0" w:space="0" w:color="auto"/>
        <w:bottom w:val="none" w:sz="0" w:space="0" w:color="auto"/>
        <w:right w:val="none" w:sz="0" w:space="0" w:color="auto"/>
      </w:divBdr>
    </w:div>
    <w:div w:id="1651251284">
      <w:bodyDiv w:val="1"/>
      <w:marLeft w:val="0"/>
      <w:marRight w:val="0"/>
      <w:marTop w:val="0"/>
      <w:marBottom w:val="0"/>
      <w:divBdr>
        <w:top w:val="none" w:sz="0" w:space="0" w:color="auto"/>
        <w:left w:val="none" w:sz="0" w:space="0" w:color="auto"/>
        <w:bottom w:val="none" w:sz="0" w:space="0" w:color="auto"/>
        <w:right w:val="none" w:sz="0" w:space="0" w:color="auto"/>
      </w:divBdr>
    </w:div>
    <w:div w:id="1784617244">
      <w:bodyDiv w:val="1"/>
      <w:marLeft w:val="0"/>
      <w:marRight w:val="0"/>
      <w:marTop w:val="0"/>
      <w:marBottom w:val="0"/>
      <w:divBdr>
        <w:top w:val="none" w:sz="0" w:space="0" w:color="auto"/>
        <w:left w:val="none" w:sz="0" w:space="0" w:color="auto"/>
        <w:bottom w:val="none" w:sz="0" w:space="0" w:color="auto"/>
        <w:right w:val="none" w:sz="0" w:space="0" w:color="auto"/>
      </w:divBdr>
      <w:divsChild>
        <w:div w:id="532545612">
          <w:marLeft w:val="446"/>
          <w:marRight w:val="0"/>
          <w:marTop w:val="0"/>
          <w:marBottom w:val="0"/>
          <w:divBdr>
            <w:top w:val="none" w:sz="0" w:space="0" w:color="auto"/>
            <w:left w:val="none" w:sz="0" w:space="0" w:color="auto"/>
            <w:bottom w:val="none" w:sz="0" w:space="0" w:color="auto"/>
            <w:right w:val="none" w:sz="0" w:space="0" w:color="auto"/>
          </w:divBdr>
        </w:div>
        <w:div w:id="287053664">
          <w:marLeft w:val="446"/>
          <w:marRight w:val="0"/>
          <w:marTop w:val="0"/>
          <w:marBottom w:val="0"/>
          <w:divBdr>
            <w:top w:val="none" w:sz="0" w:space="0" w:color="auto"/>
            <w:left w:val="none" w:sz="0" w:space="0" w:color="auto"/>
            <w:bottom w:val="none" w:sz="0" w:space="0" w:color="auto"/>
            <w:right w:val="none" w:sz="0" w:space="0" w:color="auto"/>
          </w:divBdr>
        </w:div>
        <w:div w:id="752432608">
          <w:marLeft w:val="360"/>
          <w:marRight w:val="0"/>
          <w:marTop w:val="0"/>
          <w:marBottom w:val="0"/>
          <w:divBdr>
            <w:top w:val="none" w:sz="0" w:space="0" w:color="auto"/>
            <w:left w:val="none" w:sz="0" w:space="0" w:color="auto"/>
            <w:bottom w:val="none" w:sz="0" w:space="0" w:color="auto"/>
            <w:right w:val="none" w:sz="0" w:space="0" w:color="auto"/>
          </w:divBdr>
        </w:div>
        <w:div w:id="261954925">
          <w:marLeft w:val="360"/>
          <w:marRight w:val="0"/>
          <w:marTop w:val="0"/>
          <w:marBottom w:val="0"/>
          <w:divBdr>
            <w:top w:val="none" w:sz="0" w:space="0" w:color="auto"/>
            <w:left w:val="none" w:sz="0" w:space="0" w:color="auto"/>
            <w:bottom w:val="none" w:sz="0" w:space="0" w:color="auto"/>
            <w:right w:val="none" w:sz="0" w:space="0" w:color="auto"/>
          </w:divBdr>
        </w:div>
        <w:div w:id="1984190961">
          <w:marLeft w:val="360"/>
          <w:marRight w:val="0"/>
          <w:marTop w:val="0"/>
          <w:marBottom w:val="0"/>
          <w:divBdr>
            <w:top w:val="none" w:sz="0" w:space="0" w:color="auto"/>
            <w:left w:val="none" w:sz="0" w:space="0" w:color="auto"/>
            <w:bottom w:val="none" w:sz="0" w:space="0" w:color="auto"/>
            <w:right w:val="none" w:sz="0" w:space="0" w:color="auto"/>
          </w:divBdr>
        </w:div>
        <w:div w:id="1416778435">
          <w:marLeft w:val="1166"/>
          <w:marRight w:val="0"/>
          <w:marTop w:val="0"/>
          <w:marBottom w:val="0"/>
          <w:divBdr>
            <w:top w:val="none" w:sz="0" w:space="0" w:color="auto"/>
            <w:left w:val="none" w:sz="0" w:space="0" w:color="auto"/>
            <w:bottom w:val="none" w:sz="0" w:space="0" w:color="auto"/>
            <w:right w:val="none" w:sz="0" w:space="0" w:color="auto"/>
          </w:divBdr>
        </w:div>
        <w:div w:id="2128772095">
          <w:marLeft w:val="1166"/>
          <w:marRight w:val="0"/>
          <w:marTop w:val="0"/>
          <w:marBottom w:val="0"/>
          <w:divBdr>
            <w:top w:val="none" w:sz="0" w:space="0" w:color="auto"/>
            <w:left w:val="none" w:sz="0" w:space="0" w:color="auto"/>
            <w:bottom w:val="none" w:sz="0" w:space="0" w:color="auto"/>
            <w:right w:val="none" w:sz="0" w:space="0" w:color="auto"/>
          </w:divBdr>
        </w:div>
        <w:div w:id="1765803684">
          <w:marLeft w:val="446"/>
          <w:marRight w:val="0"/>
          <w:marTop w:val="0"/>
          <w:marBottom w:val="0"/>
          <w:divBdr>
            <w:top w:val="none" w:sz="0" w:space="0" w:color="auto"/>
            <w:left w:val="none" w:sz="0" w:space="0" w:color="auto"/>
            <w:bottom w:val="none" w:sz="0" w:space="0" w:color="auto"/>
            <w:right w:val="none" w:sz="0" w:space="0" w:color="auto"/>
          </w:divBdr>
        </w:div>
        <w:div w:id="978997036">
          <w:marLeft w:val="446"/>
          <w:marRight w:val="0"/>
          <w:marTop w:val="0"/>
          <w:marBottom w:val="0"/>
          <w:divBdr>
            <w:top w:val="none" w:sz="0" w:space="0" w:color="auto"/>
            <w:left w:val="none" w:sz="0" w:space="0" w:color="auto"/>
            <w:bottom w:val="none" w:sz="0" w:space="0" w:color="auto"/>
            <w:right w:val="none" w:sz="0" w:space="0" w:color="auto"/>
          </w:divBdr>
        </w:div>
      </w:divsChild>
    </w:div>
    <w:div w:id="1822916495">
      <w:bodyDiv w:val="1"/>
      <w:marLeft w:val="0"/>
      <w:marRight w:val="0"/>
      <w:marTop w:val="0"/>
      <w:marBottom w:val="0"/>
      <w:divBdr>
        <w:top w:val="none" w:sz="0" w:space="0" w:color="auto"/>
        <w:left w:val="none" w:sz="0" w:space="0" w:color="auto"/>
        <w:bottom w:val="none" w:sz="0" w:space="0" w:color="auto"/>
        <w:right w:val="none" w:sz="0" w:space="0" w:color="auto"/>
      </w:divBdr>
    </w:div>
    <w:div w:id="1918589522">
      <w:bodyDiv w:val="1"/>
      <w:marLeft w:val="0"/>
      <w:marRight w:val="0"/>
      <w:marTop w:val="0"/>
      <w:marBottom w:val="0"/>
      <w:divBdr>
        <w:top w:val="none" w:sz="0" w:space="0" w:color="auto"/>
        <w:left w:val="none" w:sz="0" w:space="0" w:color="auto"/>
        <w:bottom w:val="none" w:sz="0" w:space="0" w:color="auto"/>
        <w:right w:val="none" w:sz="0" w:space="0" w:color="auto"/>
      </w:divBdr>
    </w:div>
    <w:div w:id="1969621299">
      <w:bodyDiv w:val="1"/>
      <w:marLeft w:val="0"/>
      <w:marRight w:val="0"/>
      <w:marTop w:val="0"/>
      <w:marBottom w:val="0"/>
      <w:divBdr>
        <w:top w:val="none" w:sz="0" w:space="0" w:color="auto"/>
        <w:left w:val="none" w:sz="0" w:space="0" w:color="auto"/>
        <w:bottom w:val="none" w:sz="0" w:space="0" w:color="auto"/>
        <w:right w:val="none" w:sz="0" w:space="0" w:color="auto"/>
      </w:divBdr>
    </w:div>
    <w:div w:id="200207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mailto:%20taxboard@treasury.gov.a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mailto:taxboard@treasury.gov.a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taxboard.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ato.gov.au/Business/Small-business-entity-concessions/Concessions/Concessions-at-a-glance/" TargetMode="Externa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3.xml"/><Relationship Id="rId31"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taxboard.gov.au" TargetMode="External"/><Relationship Id="rId27" Type="http://schemas.openxmlformats.org/officeDocument/2006/relationships/hyperlink" Target="mailto:taxboard@treasury.gov.au"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_dlc_DocId xmlns="9f7bc583-7cbe-45b9-a2bd-8bbb6543b37e">2018RG-355-4470</_dlc_DocId>
    <TaxCatchAll xmlns="9f7bc583-7cbe-45b9-a2bd-8bbb6543b37e">
      <Value>18</Value>
    </TaxCatchAll>
    <_dlc_DocIdUrl xmlns="9f7bc583-7cbe-45b9-a2bd-8bbb6543b37e">
      <Url>http://tweb/sites/rg/bots/projects/_layouts/15/DocIdRedir.aspx?ID=2018RG-355-4470</Url>
      <Description>2018RG-355-4470</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7F2E04CA2AAA104DB2D93AC73B6CBA42" ma:contentTypeVersion="11292" ma:contentTypeDescription="" ma:contentTypeScope="" ma:versionID="a0a3fb570a8bcd352849213b0a8582e6">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38431cb0f8e40174b0b05233ed2e9f6e"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b:Source>
    <b:Tag>Boa07</b:Tag>
    <b:SourceType>Report</b:SourceType>
    <b:Guid>{8C0A7B92-1616-4964-81E5-69FDE6C642E5}</b:Guid>
    <b:Title>Scoping study of small business tax compliance costs | Report to Treasurer</b:Title>
    <b:Year>December 2007</b:Year>
    <b:Publisher>Commonwealth of Australia</b:Publisher>
    <b:Author>
      <b:Author>
        <b:Corporate>Board of Taxation</b:Corporate>
      </b:Author>
    </b:Author>
    <b:RefOrder>1</b:RefOrder>
  </b:Source>
  <b:Source>
    <b:Tag>Boa14</b:Tag>
    <b:SourceType>Report</b:SourceType>
    <b:Guid>{AFAE0FE7-41D9-4383-85F8-FD1CC36C2454}</b:Guid>
    <b:Author>
      <b:Author>
        <b:Corporate>Board of Taxation</b:Corporate>
      </b:Author>
    </b:Author>
    <b:Title>Post implementation review of Division 7A of Part III of the Income Tax Assessment Act 1936 | Report to the Assistant Treasurer </b:Title>
    <b:Year>November 2014</b:Year>
    <b:Publisher>Commonwealth of Australia</b:Publisher>
    <b:RefOrder>2</b:RefOrder>
  </b:Source>
</b:Sources>
</file>

<file path=customXml/itemProps1.xml><?xml version="1.0" encoding="utf-8"?>
<ds:datastoreItem xmlns:ds="http://schemas.openxmlformats.org/officeDocument/2006/customXml" ds:itemID="{CA044796-D342-4E71-9E82-BBE123E51915}">
  <ds:schemaRefs>
    <ds:schemaRef ds:uri="http://schemas.microsoft.com/sharepoint/events"/>
  </ds:schemaRefs>
</ds:datastoreItem>
</file>

<file path=customXml/itemProps2.xml><?xml version="1.0" encoding="utf-8"?>
<ds:datastoreItem xmlns:ds="http://schemas.openxmlformats.org/officeDocument/2006/customXml" ds:itemID="{C493AB89-7EED-41B5-B94F-27DD9B6E96A7}">
  <ds:schemaRefs>
    <ds:schemaRef ds:uri="http://schemas.microsoft.com/office/2006/metadata/properties"/>
    <ds:schemaRef ds:uri="http://purl.org/dc/elements/1.1/"/>
    <ds:schemaRef ds:uri="http://www.w3.org/XML/1998/namespace"/>
    <ds:schemaRef ds:uri="http://purl.org/dc/dcmitype/"/>
    <ds:schemaRef ds:uri="http://schemas.microsoft.com/sharepoint/v3"/>
    <ds:schemaRef ds:uri="http://schemas.microsoft.com/sharepoint/v4"/>
    <ds:schemaRef ds:uri="9f7bc583-7cbe-45b9-a2bd-8bbb6543b37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693A0AA-3714-4EC9-BAAD-C5B0DDA1A3BC}">
  <ds:schemaRefs>
    <ds:schemaRef ds:uri="http://schemas.microsoft.com/sharepoint/v3/contenttype/forms"/>
  </ds:schemaRefs>
</ds:datastoreItem>
</file>

<file path=customXml/itemProps4.xml><?xml version="1.0" encoding="utf-8"?>
<ds:datastoreItem xmlns:ds="http://schemas.openxmlformats.org/officeDocument/2006/customXml" ds:itemID="{4BE00576-36E0-41A1-A894-880D03D0FC1F}">
  <ds:schemaRefs>
    <ds:schemaRef ds:uri="office.server.policy"/>
  </ds:schemaRefs>
</ds:datastoreItem>
</file>

<file path=customXml/itemProps5.xml><?xml version="1.0" encoding="utf-8"?>
<ds:datastoreItem xmlns:ds="http://schemas.openxmlformats.org/officeDocument/2006/customXml" ds:itemID="{47F9EB08-61F9-47AD-BD78-509F29559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A116326-EE17-48C1-BE06-00DFA5CA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3338</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Scarano, David</dc:creator>
  <cp:lastModifiedBy>Flego, Adrian</cp:lastModifiedBy>
  <cp:revision>9</cp:revision>
  <cp:lastPrinted>2018-03-23T03:39:00Z</cp:lastPrinted>
  <dcterms:created xsi:type="dcterms:W3CDTF">2018-05-17T03:10:00Z</dcterms:created>
  <dcterms:modified xsi:type="dcterms:W3CDTF">2018-05-17T06:03:00Z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orkingDocStatus">
    <vt:lpwstr/>
  </property>
  <property fmtid="{D5CDD505-2E9C-101B-9397-08002B2CF9AE}" pid="4" name="_AdHocReviewCycleID">
    <vt:i4>-504994237</vt:i4>
  </property>
  <property fmtid="{D5CDD505-2E9C-101B-9397-08002B2CF9AE}" pid="5" name="_EmailSubject">
    <vt:lpwstr>#T271451 Review of Small Business Tax Concessions formatting [SEC=UNCLASSIFIED]</vt:lpwstr>
  </property>
  <property fmtid="{D5CDD505-2E9C-101B-9397-08002B2CF9AE}" pid="6" name="_AuthorEmail">
    <vt:lpwstr>Matthew.Plevey@TREASURY.GOV.AU</vt:lpwstr>
  </property>
  <property fmtid="{D5CDD505-2E9C-101B-9397-08002B2CF9AE}" pid="7" name="_AuthorEmailDisplayName">
    <vt:lpwstr>Plevey, Matthew</vt:lpwstr>
  </property>
  <property fmtid="{D5CDD505-2E9C-101B-9397-08002B2CF9AE}" pid="8" name="_PreviousAdHocReviewCycleID">
    <vt:i4>-95723165</vt:i4>
  </property>
  <property fmtid="{D5CDD505-2E9C-101B-9397-08002B2CF9AE}" pid="9" name="ContentTypeId">
    <vt:lpwstr>0x01010036BB8DE7EC542E42A8B2E98CC20CB697007F2E04CA2AAA104DB2D93AC73B6CBA42</vt:lpwstr>
  </property>
  <property fmtid="{D5CDD505-2E9C-101B-9397-08002B2CF9AE}" pid="10" name="TSYRecordClass">
    <vt:lpwstr>18;#GRA26-21135 - Retain as national archives|f1e1d764-3604-4ca6-bc54-6b106e291d6f</vt:lpwstr>
  </property>
  <property fmtid="{D5CDD505-2E9C-101B-9397-08002B2CF9AE}" pid="11" name="_dlc_DocIdItemGuid">
    <vt:lpwstr>e6e67cfe-6618-4267-8746-cba826442027</vt:lpwstr>
  </property>
  <property fmtid="{D5CDD505-2E9C-101B-9397-08002B2CF9AE}" pid="12" name="RecordPoint_WorkflowType">
    <vt:lpwstr>ActiveSubmitStub</vt:lpwstr>
  </property>
  <property fmtid="{D5CDD505-2E9C-101B-9397-08002B2CF9AE}" pid="13" name="RecordPoint_ActiveItemSiteId">
    <vt:lpwstr>{de902461-0703-410e-906b-a2e3a4f5dd57}</vt:lpwstr>
  </property>
  <property fmtid="{D5CDD505-2E9C-101B-9397-08002B2CF9AE}" pid="14" name="RecordPoint_ActiveItemListId">
    <vt:lpwstr>{1a5197ea-2690-47fd-a085-19629528b6d0}</vt:lpwstr>
  </property>
  <property fmtid="{D5CDD505-2E9C-101B-9397-08002B2CF9AE}" pid="15" name="RecordPoint_ActiveItemUniqueId">
    <vt:lpwstr>{b14bf821-de3d-46a1-bcdb-26a69724059d}</vt:lpwstr>
  </property>
  <property fmtid="{D5CDD505-2E9C-101B-9397-08002B2CF9AE}" pid="16" name="RecordPoint_ActiveItemWebId">
    <vt:lpwstr>{e237d495-0881-4849-ae62-ddc8a8132df5}</vt:lpwstr>
  </property>
  <property fmtid="{D5CDD505-2E9C-101B-9397-08002B2CF9AE}" pid="17" name="_ReviewingToolsShownOnce">
    <vt:lpwstr/>
  </property>
</Properties>
</file>